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E4" w:rsidRPr="003758E4" w:rsidRDefault="003758E4" w:rsidP="008A666A">
      <w:pPr>
        <w:tabs>
          <w:tab w:val="left" w:pos="2160"/>
        </w:tabs>
        <w:suppressAutoHyphens/>
        <w:ind w:left="142" w:right="155" w:firstLine="142"/>
        <w:jc w:val="center"/>
        <w:rPr>
          <w:caps/>
          <w:sz w:val="28"/>
          <w:szCs w:val="28"/>
        </w:rPr>
      </w:pPr>
      <w:r w:rsidRPr="003758E4">
        <w:rPr>
          <w:caps/>
          <w:sz w:val="28"/>
          <w:szCs w:val="28"/>
        </w:rPr>
        <w:t>памятка</w:t>
      </w:r>
    </w:p>
    <w:p w:rsidR="008A666A" w:rsidRPr="00915CC5" w:rsidRDefault="008A666A" w:rsidP="008A666A">
      <w:pPr>
        <w:tabs>
          <w:tab w:val="left" w:pos="2160"/>
        </w:tabs>
        <w:suppressAutoHyphens/>
        <w:ind w:left="142" w:right="155" w:firstLine="142"/>
        <w:jc w:val="center"/>
        <w:rPr>
          <w:caps/>
          <w:color w:val="1F497D"/>
          <w:sz w:val="44"/>
          <w:szCs w:val="44"/>
        </w:rPr>
      </w:pPr>
      <w:r w:rsidRPr="00915CC5">
        <w:rPr>
          <w:caps/>
          <w:color w:val="1F497D"/>
          <w:sz w:val="44"/>
          <w:szCs w:val="44"/>
        </w:rPr>
        <w:t xml:space="preserve">как оБЕСПЕЧИТЬ СЕБЕ ДОСТОЙНУЮ </w:t>
      </w:r>
      <w:bookmarkStart w:id="0" w:name="_GoBack"/>
      <w:bookmarkEnd w:id="0"/>
      <w:r w:rsidRPr="00915CC5">
        <w:rPr>
          <w:caps/>
          <w:color w:val="1F497D"/>
          <w:sz w:val="44"/>
          <w:szCs w:val="44"/>
        </w:rPr>
        <w:t>СТАРОСТЬ</w:t>
      </w:r>
    </w:p>
    <w:p w:rsidR="008A666A" w:rsidRPr="0008503B" w:rsidRDefault="008A666A" w:rsidP="008A666A">
      <w:pPr>
        <w:tabs>
          <w:tab w:val="left" w:pos="2160"/>
        </w:tabs>
        <w:suppressAutoHyphens/>
        <w:ind w:left="142" w:right="155" w:firstLine="142"/>
        <w:jc w:val="center"/>
        <w:rPr>
          <w:caps/>
          <w:sz w:val="44"/>
          <w:szCs w:val="44"/>
        </w:rPr>
      </w:pPr>
    </w:p>
    <w:p w:rsidR="008A666A" w:rsidRPr="00333D2C" w:rsidRDefault="008A666A" w:rsidP="008A666A">
      <w:pPr>
        <w:tabs>
          <w:tab w:val="left" w:pos="2160"/>
        </w:tabs>
        <w:suppressAutoHyphens/>
        <w:spacing w:after="120"/>
        <w:ind w:right="155" w:firstLine="284"/>
        <w:jc w:val="both"/>
        <w:rPr>
          <w:iCs/>
        </w:rPr>
      </w:pPr>
      <w:r w:rsidRPr="00333D2C">
        <w:rPr>
          <w:iCs/>
        </w:rPr>
        <w:t xml:space="preserve">Право каждого россиянина на достойную старость закреплено Конституцией Российской Федерации. Основным источником существования в старости для большинства граждан является пенсия. </w:t>
      </w:r>
    </w:p>
    <w:p w:rsidR="008A666A" w:rsidRPr="00333D2C" w:rsidRDefault="008A666A" w:rsidP="008A666A">
      <w:pPr>
        <w:tabs>
          <w:tab w:val="left" w:pos="2160"/>
        </w:tabs>
        <w:suppressAutoHyphens/>
        <w:spacing w:after="120"/>
        <w:ind w:right="155" w:firstLine="284"/>
        <w:jc w:val="both"/>
        <w:rPr>
          <w:iCs/>
        </w:rPr>
      </w:pPr>
      <w:r w:rsidRPr="00333D2C">
        <w:rPr>
          <w:iCs/>
        </w:rPr>
        <w:t xml:space="preserve">В России </w:t>
      </w:r>
      <w:r w:rsidRPr="00333D2C">
        <w:rPr>
          <w:b/>
          <w:iCs/>
        </w:rPr>
        <w:t xml:space="preserve">существует </w:t>
      </w:r>
      <w:r w:rsidRPr="00333D2C">
        <w:rPr>
          <w:b/>
          <w:bCs/>
          <w:iCs/>
        </w:rPr>
        <w:t>три вида пенсионного обеспечения</w:t>
      </w:r>
      <w:r w:rsidRPr="00333D2C">
        <w:rPr>
          <w:bCs/>
          <w:iCs/>
        </w:rPr>
        <w:t>: государственное пенсионное обеспечение, государственное обязательное пенсионное страхование, негосударственное (дополнительное) пенсионное обеспечение.</w:t>
      </w:r>
    </w:p>
    <w:p w:rsidR="008A666A" w:rsidRPr="00333D2C" w:rsidRDefault="008A666A" w:rsidP="008A666A">
      <w:pPr>
        <w:tabs>
          <w:tab w:val="left" w:pos="2160"/>
        </w:tabs>
        <w:suppressAutoHyphens/>
        <w:spacing w:after="120"/>
        <w:ind w:right="155" w:firstLine="284"/>
        <w:jc w:val="both"/>
        <w:rPr>
          <w:iCs/>
        </w:rPr>
      </w:pPr>
      <w:r w:rsidRPr="00333D2C">
        <w:rPr>
          <w:b/>
          <w:iCs/>
        </w:rPr>
        <w:t>Соответственно, существует</w:t>
      </w:r>
      <w:r w:rsidRPr="00333D2C">
        <w:rPr>
          <w:iCs/>
        </w:rPr>
        <w:t xml:space="preserve"> </w:t>
      </w:r>
      <w:r w:rsidRPr="00333D2C">
        <w:rPr>
          <w:b/>
          <w:iCs/>
        </w:rPr>
        <w:t>три вида пенсий</w:t>
      </w:r>
      <w:r w:rsidRPr="00333D2C">
        <w:rPr>
          <w:iCs/>
        </w:rPr>
        <w:t xml:space="preserve"> (их описание представлено в Приложении 1):</w:t>
      </w:r>
    </w:p>
    <w:p w:rsidR="008A666A" w:rsidRPr="00333D2C" w:rsidRDefault="008A666A" w:rsidP="008A666A">
      <w:pPr>
        <w:numPr>
          <w:ilvl w:val="3"/>
          <w:numId w:val="7"/>
        </w:numPr>
        <w:tabs>
          <w:tab w:val="left" w:pos="2160"/>
        </w:tabs>
        <w:suppressAutoHyphens/>
        <w:spacing w:after="120"/>
        <w:ind w:left="426" w:right="155"/>
        <w:jc w:val="both"/>
        <w:rPr>
          <w:iCs/>
        </w:rPr>
      </w:pPr>
      <w:r w:rsidRPr="00333D2C">
        <w:rPr>
          <w:iCs/>
        </w:rPr>
        <w:t>государственные пенсии (пенсия за выслугу лет, пенсия по старости, пенсия по инвалидности, пенсия по случаю потери кормильца)</w:t>
      </w:r>
    </w:p>
    <w:p w:rsidR="008A666A" w:rsidRPr="00333D2C" w:rsidRDefault="008A666A" w:rsidP="008A666A">
      <w:pPr>
        <w:numPr>
          <w:ilvl w:val="3"/>
          <w:numId w:val="7"/>
        </w:numPr>
        <w:tabs>
          <w:tab w:val="left" w:pos="2160"/>
        </w:tabs>
        <w:suppressAutoHyphens/>
        <w:spacing w:after="120"/>
        <w:ind w:left="426" w:right="155"/>
        <w:jc w:val="both"/>
        <w:rPr>
          <w:iCs/>
        </w:rPr>
      </w:pPr>
      <w:r w:rsidRPr="00333D2C">
        <w:rPr>
          <w:iCs/>
        </w:rPr>
        <w:t>трудовые пенсии (трудовая пенсия по старости, трудовая пенсия по инвалидности, трудовая пенсия по случаю потери кормильца)</w:t>
      </w:r>
    </w:p>
    <w:p w:rsidR="008A666A" w:rsidRPr="00333D2C" w:rsidRDefault="008A666A" w:rsidP="008A666A">
      <w:pPr>
        <w:numPr>
          <w:ilvl w:val="3"/>
          <w:numId w:val="7"/>
        </w:numPr>
        <w:tabs>
          <w:tab w:val="left" w:pos="2160"/>
        </w:tabs>
        <w:suppressAutoHyphens/>
        <w:spacing w:after="120"/>
        <w:ind w:left="426" w:right="155"/>
        <w:jc w:val="both"/>
        <w:rPr>
          <w:iCs/>
        </w:rPr>
      </w:pPr>
      <w:r w:rsidRPr="00333D2C">
        <w:rPr>
          <w:iCs/>
        </w:rPr>
        <w:t>дополнительные негосударственные пенсии (срочная пенсия, пенсия на дожитие (бессрочная)).</w:t>
      </w:r>
    </w:p>
    <w:p w:rsidR="008A666A" w:rsidRDefault="008A666A" w:rsidP="008A666A">
      <w:pPr>
        <w:tabs>
          <w:tab w:val="left" w:pos="2160"/>
        </w:tabs>
        <w:suppressAutoHyphens/>
        <w:spacing w:after="120"/>
        <w:ind w:right="155" w:firstLine="284"/>
        <w:jc w:val="both"/>
        <w:rPr>
          <w:b/>
          <w:iCs/>
          <w:sz w:val="22"/>
          <w:szCs w:val="22"/>
        </w:rPr>
      </w:pPr>
    </w:p>
    <w:p w:rsidR="008A666A" w:rsidRPr="008A666A" w:rsidRDefault="008A666A" w:rsidP="008A666A">
      <w:pPr>
        <w:tabs>
          <w:tab w:val="left" w:pos="2160"/>
        </w:tabs>
        <w:suppressAutoHyphens/>
        <w:spacing w:after="120"/>
        <w:ind w:right="155" w:firstLine="284"/>
        <w:jc w:val="both"/>
        <w:rPr>
          <w:iCs/>
          <w:color w:val="C0504D" w:themeColor="accent2"/>
          <w:sz w:val="22"/>
          <w:szCs w:val="22"/>
        </w:rPr>
      </w:pPr>
      <w:r w:rsidRPr="008A666A">
        <w:rPr>
          <w:b/>
          <w:iCs/>
          <w:color w:val="C0504D" w:themeColor="accent2"/>
          <w:sz w:val="22"/>
          <w:szCs w:val="22"/>
        </w:rPr>
        <w:t>Обеспечить себе достойную старость за счет соответствующей пенсии возможно, если грамотно использовать право на управление и инвестирование накопительной части трудовой пенсии по старости, и сочетать это с системой негосударственного пенсионного обеспечения.</w:t>
      </w:r>
    </w:p>
    <w:p w:rsidR="008A666A" w:rsidRPr="008A666A" w:rsidRDefault="008A666A" w:rsidP="008A666A">
      <w:pPr>
        <w:tabs>
          <w:tab w:val="left" w:pos="2160"/>
        </w:tabs>
        <w:suppressAutoHyphens/>
        <w:spacing w:after="120"/>
        <w:ind w:right="155" w:firstLine="284"/>
        <w:jc w:val="both"/>
        <w:rPr>
          <w:iCs/>
          <w:sz w:val="22"/>
          <w:szCs w:val="22"/>
        </w:rPr>
      </w:pPr>
    </w:p>
    <w:p w:rsidR="008A666A" w:rsidRDefault="008A666A" w:rsidP="008A666A">
      <w:pPr>
        <w:tabs>
          <w:tab w:val="left" w:pos="2160"/>
        </w:tabs>
        <w:suppressAutoHyphens/>
        <w:spacing w:after="120"/>
        <w:ind w:right="153" w:firstLine="284"/>
        <w:jc w:val="both"/>
        <w:rPr>
          <w:iCs/>
        </w:rPr>
      </w:pPr>
      <w:r w:rsidRPr="008A666A">
        <w:rPr>
          <w:b/>
          <w:iCs/>
        </w:rPr>
        <w:t>Трудовая пенсия по старости</w:t>
      </w:r>
      <w:r w:rsidRPr="008A666A">
        <w:rPr>
          <w:iCs/>
        </w:rPr>
        <w:t xml:space="preserve"> - ежемесячное денежное пособие, выплачиваемое Пенсионным фондом России (ПФР) в целях компенсации пенсионеру получаемого им дохода от трудовой деятельности. </w:t>
      </w:r>
    </w:p>
    <w:p w:rsidR="008A666A" w:rsidRDefault="008A666A" w:rsidP="008A666A">
      <w:pPr>
        <w:tabs>
          <w:tab w:val="left" w:pos="2160"/>
        </w:tabs>
        <w:suppressAutoHyphens/>
        <w:spacing w:after="120"/>
        <w:ind w:right="153" w:firstLine="284"/>
        <w:jc w:val="both"/>
        <w:rPr>
          <w:iCs/>
        </w:rPr>
      </w:pPr>
    </w:p>
    <w:p w:rsidR="008A666A" w:rsidRDefault="008A666A" w:rsidP="008A666A">
      <w:pPr>
        <w:tabs>
          <w:tab w:val="left" w:pos="2160"/>
        </w:tabs>
        <w:suppressAutoHyphens/>
        <w:spacing w:after="120"/>
        <w:ind w:right="153" w:firstLine="284"/>
        <w:jc w:val="both"/>
      </w:pPr>
      <w:r w:rsidRPr="00FF1270">
        <w:rPr>
          <w:iCs/>
        </w:rPr>
        <w:t>Право на получение трудовой пенсии по старости</w:t>
      </w:r>
      <w:r w:rsidRPr="004B78B9">
        <w:rPr>
          <w:iCs/>
        </w:rPr>
        <w:t xml:space="preserve"> имеют </w:t>
      </w:r>
      <w:r w:rsidRPr="004B78B9">
        <w:t>граждане: достигшие 55 летнего возраста женщины и 60-летнего возраста мужчины, имеющие минимум 5-летний трудовой стаж.</w:t>
      </w:r>
    </w:p>
    <w:p w:rsidR="008A666A" w:rsidRDefault="008A666A" w:rsidP="008A666A">
      <w:pPr>
        <w:tabs>
          <w:tab w:val="left" w:pos="2160"/>
        </w:tabs>
        <w:suppressAutoHyphens/>
        <w:spacing w:after="120"/>
        <w:ind w:right="155"/>
        <w:jc w:val="center"/>
        <w:rPr>
          <w:color w:val="1F497D"/>
        </w:rPr>
      </w:pPr>
    </w:p>
    <w:p w:rsidR="008A666A" w:rsidRPr="00915CC5" w:rsidRDefault="008A666A" w:rsidP="008A666A">
      <w:pPr>
        <w:tabs>
          <w:tab w:val="left" w:pos="2160"/>
        </w:tabs>
        <w:suppressAutoHyphens/>
        <w:spacing w:after="120"/>
        <w:ind w:right="155"/>
        <w:jc w:val="center"/>
        <w:rPr>
          <w:color w:val="1F497D"/>
        </w:rPr>
      </w:pPr>
      <w:r w:rsidRPr="00915CC5">
        <w:rPr>
          <w:color w:val="1F497D"/>
        </w:rPr>
        <w:t>ЗА СЧЕТ ЧЕГО ФОРМИРУЕТСЯ ТРУДОВАЯ ПЕНСИЯ ПО СТАРОСТИ?</w:t>
      </w:r>
    </w:p>
    <w:p w:rsidR="008A666A" w:rsidRPr="00333D2C" w:rsidRDefault="008A666A" w:rsidP="008A666A">
      <w:pPr>
        <w:tabs>
          <w:tab w:val="left" w:pos="2160"/>
        </w:tabs>
        <w:suppressAutoHyphens/>
        <w:ind w:right="155" w:firstLine="284"/>
        <w:jc w:val="both"/>
        <w:rPr>
          <w:iCs/>
        </w:rPr>
      </w:pPr>
      <w:r w:rsidRPr="00333D2C">
        <w:rPr>
          <w:iCs/>
        </w:rPr>
        <w:t xml:space="preserve">Трудовая пенсия по старости формируется за счет отчислений работодателя в </w:t>
      </w:r>
      <w:r w:rsidRPr="00333D2C">
        <w:rPr>
          <w:b/>
          <w:iCs/>
        </w:rPr>
        <w:t>Пенсионный фонд России (ПФР)</w:t>
      </w:r>
      <w:r w:rsidRPr="00333D2C">
        <w:rPr>
          <w:iCs/>
        </w:rPr>
        <w:t xml:space="preserve">, которые производятся в размере 26% от годового заработка работника в пределах 463 тысяч рублей по каждому месту работы (если Ваш годовой доход больше 463 </w:t>
      </w:r>
      <w:proofErr w:type="spellStart"/>
      <w:r w:rsidRPr="00333D2C">
        <w:rPr>
          <w:iCs/>
        </w:rPr>
        <w:t>тыс</w:t>
      </w:r>
      <w:proofErr w:type="gramStart"/>
      <w:r w:rsidRPr="00333D2C">
        <w:rPr>
          <w:iCs/>
        </w:rPr>
        <w:t>.р</w:t>
      </w:r>
      <w:proofErr w:type="gramEnd"/>
      <w:r w:rsidRPr="00333D2C">
        <w:rPr>
          <w:iCs/>
        </w:rPr>
        <w:t>ублей</w:t>
      </w:r>
      <w:proofErr w:type="spellEnd"/>
      <w:r w:rsidRPr="00333D2C">
        <w:rPr>
          <w:iCs/>
        </w:rPr>
        <w:t>, то страховые взносы на сумму превышения годового дохода установленного законом размера не начисляются)26% . Эти платежи поступают на индивидуальный лицевой счет (этот счет ПФР открывает каждому работающему россиянину с момента получения им страхового свидетельства обязательного пенсионного страхования</w:t>
      </w:r>
      <w:proofErr w:type="gramStart"/>
      <w:r w:rsidRPr="00333D2C">
        <w:rPr>
          <w:iCs/>
        </w:rPr>
        <w:t xml:space="preserve"> )</w:t>
      </w:r>
      <w:proofErr w:type="gramEnd"/>
      <w:r w:rsidRPr="00333D2C">
        <w:rPr>
          <w:iCs/>
        </w:rPr>
        <w:t xml:space="preserve">. </w:t>
      </w:r>
    </w:p>
    <w:p w:rsidR="008A666A" w:rsidRPr="00333D2C" w:rsidRDefault="008A666A" w:rsidP="008A666A">
      <w:pPr>
        <w:tabs>
          <w:tab w:val="left" w:pos="2160"/>
        </w:tabs>
        <w:suppressAutoHyphens/>
        <w:spacing w:after="120"/>
        <w:ind w:right="155" w:firstLine="284"/>
        <w:jc w:val="both"/>
        <w:rPr>
          <w:iCs/>
          <w:color w:val="000000"/>
        </w:rPr>
      </w:pPr>
    </w:p>
    <w:p w:rsidR="008A666A" w:rsidRPr="008A666A" w:rsidRDefault="008A666A" w:rsidP="008A666A">
      <w:pPr>
        <w:tabs>
          <w:tab w:val="left" w:pos="2160"/>
        </w:tabs>
        <w:suppressAutoHyphens/>
        <w:spacing w:after="120"/>
        <w:ind w:right="155" w:firstLine="284"/>
        <w:jc w:val="center"/>
        <w:rPr>
          <w:b/>
          <w:iCs/>
          <w:color w:val="4F81BD" w:themeColor="accent1"/>
          <w:sz w:val="22"/>
          <w:szCs w:val="22"/>
        </w:rPr>
      </w:pPr>
      <w:r w:rsidRPr="008A666A">
        <w:rPr>
          <w:b/>
          <w:iCs/>
          <w:color w:val="4F81BD" w:themeColor="accent1"/>
          <w:sz w:val="22"/>
          <w:szCs w:val="22"/>
        </w:rPr>
        <w:t>ТРУДОВАЯ ПЕНСИЯ СОСТОИТ ИЗ ДВУХ ЧАСТЕЙ:</w:t>
      </w:r>
    </w:p>
    <w:p w:rsidR="008A666A" w:rsidRPr="008A666A" w:rsidRDefault="008A666A" w:rsidP="008A666A">
      <w:pPr>
        <w:tabs>
          <w:tab w:val="left" w:pos="2160"/>
        </w:tabs>
        <w:suppressAutoHyphens/>
        <w:spacing w:after="120"/>
        <w:ind w:right="155" w:firstLine="284"/>
        <w:jc w:val="both"/>
        <w:rPr>
          <w:iCs/>
          <w:color w:val="000000"/>
          <w:sz w:val="22"/>
          <w:szCs w:val="22"/>
        </w:rPr>
      </w:pPr>
      <w:r w:rsidRPr="008A666A">
        <w:rPr>
          <w:iCs/>
          <w:color w:val="000000"/>
          <w:sz w:val="22"/>
          <w:szCs w:val="22"/>
        </w:rPr>
        <w:t xml:space="preserve">1) СТРАХОВАЯ ЧАСТЬ </w:t>
      </w:r>
    </w:p>
    <w:p w:rsidR="008A666A" w:rsidRPr="00333D2C" w:rsidRDefault="008A666A" w:rsidP="008A666A">
      <w:pPr>
        <w:tabs>
          <w:tab w:val="left" w:pos="2160"/>
        </w:tabs>
        <w:suppressAutoHyphens/>
        <w:spacing w:after="120"/>
        <w:ind w:right="155" w:firstLine="284"/>
        <w:jc w:val="both"/>
        <w:rPr>
          <w:iCs/>
          <w:color w:val="000000"/>
        </w:rPr>
      </w:pPr>
      <w:r w:rsidRPr="00333D2C">
        <w:rPr>
          <w:iCs/>
          <w:color w:val="000000"/>
        </w:rPr>
        <w:t xml:space="preserve">Страховая часть пенсии формируется за счет страховых взносов, поступивших в ПФР после 1 января 2002 года, а также путем преобразования в расчетный пенсионный капитал пенсионных прав, приобретенных работником до 2002 года. На формирование страховой части уходит </w:t>
      </w:r>
      <w:r w:rsidRPr="00333D2C">
        <w:rPr>
          <w:b/>
          <w:bCs/>
          <w:iCs/>
          <w:color w:val="000000"/>
        </w:rPr>
        <w:t xml:space="preserve">20% </w:t>
      </w:r>
      <w:r w:rsidRPr="00333D2C">
        <w:rPr>
          <w:iCs/>
          <w:color w:val="000000"/>
        </w:rPr>
        <w:t xml:space="preserve">от годового заработка лиц 1967 года рождения и моложе, </w:t>
      </w:r>
      <w:r w:rsidRPr="00333D2C">
        <w:rPr>
          <w:b/>
          <w:bCs/>
          <w:iCs/>
          <w:color w:val="000000"/>
        </w:rPr>
        <w:t xml:space="preserve">26% </w:t>
      </w:r>
      <w:r w:rsidRPr="00333D2C">
        <w:rPr>
          <w:iCs/>
          <w:color w:val="000000"/>
        </w:rPr>
        <w:t xml:space="preserve">от годового заработка для всех остальных. Поступающие в страховую часть взносы не накапливаются и не инвестируются, а </w:t>
      </w:r>
      <w:r w:rsidRPr="00333D2C">
        <w:rPr>
          <w:iCs/>
          <w:color w:val="000000"/>
        </w:rPr>
        <w:lastRenderedPageBreak/>
        <w:t>сразу выплачиваются сегодняшним пенсионерам. Страховая часть пенсии четко определена государством и не подлежит изменению со стороны гражданина.</w:t>
      </w:r>
    </w:p>
    <w:p w:rsidR="008A666A" w:rsidRPr="00333D2C" w:rsidRDefault="008A666A" w:rsidP="008A666A">
      <w:pPr>
        <w:tabs>
          <w:tab w:val="left" w:pos="2160"/>
        </w:tabs>
        <w:suppressAutoHyphens/>
        <w:spacing w:after="120"/>
        <w:ind w:right="155" w:firstLine="284"/>
        <w:jc w:val="both"/>
        <w:rPr>
          <w:iCs/>
          <w:color w:val="000000"/>
        </w:rPr>
      </w:pPr>
      <w:r w:rsidRPr="00333D2C">
        <w:rPr>
          <w:iCs/>
          <w:color w:val="000000"/>
        </w:rPr>
        <w:t xml:space="preserve">2) НАКОПИТЕЛЬНАЯ ЧАСТЬ </w:t>
      </w:r>
    </w:p>
    <w:p w:rsidR="008A666A" w:rsidRPr="00333D2C" w:rsidRDefault="008A666A" w:rsidP="008A666A">
      <w:pPr>
        <w:tabs>
          <w:tab w:val="left" w:pos="2160"/>
        </w:tabs>
        <w:suppressAutoHyphens/>
        <w:spacing w:after="120"/>
        <w:ind w:right="155" w:firstLine="284"/>
        <w:jc w:val="both"/>
        <w:rPr>
          <w:iCs/>
          <w:color w:val="000000"/>
        </w:rPr>
      </w:pPr>
      <w:r w:rsidRPr="00333D2C">
        <w:rPr>
          <w:iCs/>
          <w:color w:val="000000"/>
        </w:rPr>
        <w:t>Накопительная часть пенсии формируется за счет обязательных страховых взносов</w:t>
      </w:r>
      <w:r w:rsidRPr="00333D2C">
        <w:rPr>
          <w:b/>
          <w:bCs/>
          <w:iCs/>
          <w:color w:val="000000"/>
        </w:rPr>
        <w:t xml:space="preserve"> </w:t>
      </w:r>
      <w:r w:rsidRPr="00333D2C">
        <w:rPr>
          <w:bCs/>
          <w:iCs/>
          <w:color w:val="000000"/>
        </w:rPr>
        <w:t>в размере</w:t>
      </w:r>
      <w:r w:rsidRPr="00333D2C">
        <w:rPr>
          <w:b/>
          <w:bCs/>
          <w:iCs/>
          <w:color w:val="000000"/>
        </w:rPr>
        <w:t xml:space="preserve"> 6% </w:t>
      </w:r>
      <w:r w:rsidRPr="00333D2C">
        <w:rPr>
          <w:iCs/>
          <w:color w:val="000000"/>
        </w:rPr>
        <w:t>от годового заработка работника только для лиц 1967 года рождения и моложе. Средства накопительной части будущей пенсии учитываются ПФР в специальной части Вашего индивидуального лицевого счета.</w:t>
      </w:r>
    </w:p>
    <w:p w:rsidR="008A666A" w:rsidRPr="00333D2C" w:rsidRDefault="008A666A" w:rsidP="008A666A">
      <w:pPr>
        <w:tabs>
          <w:tab w:val="left" w:pos="2160"/>
        </w:tabs>
        <w:suppressAutoHyphens/>
        <w:spacing w:after="120"/>
        <w:ind w:right="155" w:firstLine="284"/>
        <w:jc w:val="both"/>
        <w:rPr>
          <w:iCs/>
          <w:color w:val="000000"/>
        </w:rPr>
      </w:pPr>
      <w:proofErr w:type="gramStart"/>
      <w:r w:rsidRPr="00333D2C">
        <w:rPr>
          <w:iCs/>
          <w:color w:val="000000"/>
        </w:rPr>
        <w:t>Накопительная часть пенсии в течение всего срока, пока работник не выйдет на пенсию, инвестируется (то есть пенсионный фонд, в котором находятся эти средства, покупает</w:t>
      </w:r>
      <w:r w:rsidR="003051F9" w:rsidRPr="00333D2C">
        <w:rPr>
          <w:iCs/>
          <w:color w:val="000000"/>
        </w:rPr>
        <w:t xml:space="preserve">-продает </w:t>
      </w:r>
      <w:r w:rsidRPr="00333D2C">
        <w:rPr>
          <w:iCs/>
          <w:color w:val="000000"/>
        </w:rPr>
        <w:t>на них ценные бумаги, правом на покупку которыми обладает по закону</w:t>
      </w:r>
      <w:r w:rsidR="003051F9" w:rsidRPr="00333D2C">
        <w:rPr>
          <w:iCs/>
          <w:color w:val="000000"/>
        </w:rPr>
        <w:t>; перечень ценных бумаг, в которые разрешено фонду инвестировать накопительную часть пенсии своих вкладчиков, можно узнать в самом фонде или на сайте ПФР</w:t>
      </w:r>
      <w:r w:rsidRPr="00333D2C">
        <w:rPr>
          <w:iCs/>
          <w:color w:val="000000"/>
        </w:rPr>
        <w:t>).</w:t>
      </w:r>
      <w:proofErr w:type="gramEnd"/>
      <w:r w:rsidRPr="00333D2C">
        <w:rPr>
          <w:iCs/>
          <w:color w:val="000000"/>
        </w:rPr>
        <w:t xml:space="preserve"> Получаемый при этом инвестиционный доход (положительная разница между ценой покупки и продажи ценной бумаги) зачисляется на </w:t>
      </w:r>
      <w:r w:rsidR="003051F9" w:rsidRPr="00333D2C">
        <w:rPr>
          <w:iCs/>
          <w:color w:val="000000"/>
        </w:rPr>
        <w:t xml:space="preserve">персональный </w:t>
      </w:r>
      <w:r w:rsidRPr="00333D2C">
        <w:rPr>
          <w:iCs/>
          <w:color w:val="000000"/>
        </w:rPr>
        <w:t xml:space="preserve">счет работника. </w:t>
      </w:r>
    </w:p>
    <w:p w:rsidR="003051F9" w:rsidRPr="00333D2C" w:rsidRDefault="003051F9" w:rsidP="008A666A">
      <w:pPr>
        <w:tabs>
          <w:tab w:val="left" w:pos="2160"/>
        </w:tabs>
        <w:suppressAutoHyphens/>
        <w:spacing w:after="120"/>
        <w:ind w:right="155" w:firstLine="284"/>
        <w:jc w:val="both"/>
        <w:rPr>
          <w:iCs/>
          <w:color w:val="000000"/>
        </w:rPr>
      </w:pPr>
    </w:p>
    <w:tbl>
      <w:tblPr>
        <w:tblW w:w="9356" w:type="dxa"/>
        <w:tblInd w:w="108" w:type="dxa"/>
        <w:tblLook w:val="01E0" w:firstRow="1" w:lastRow="1" w:firstColumn="1" w:lastColumn="1" w:noHBand="0" w:noVBand="0"/>
      </w:tblPr>
      <w:tblGrid>
        <w:gridCol w:w="9356"/>
      </w:tblGrid>
      <w:tr w:rsidR="008A666A" w:rsidRPr="007C7836" w:rsidTr="003051F9">
        <w:tc>
          <w:tcPr>
            <w:tcW w:w="9356" w:type="dxa"/>
            <w:shd w:val="clear" w:color="auto" w:fill="auto"/>
          </w:tcPr>
          <w:p w:rsidR="008A666A" w:rsidRPr="00306FA7" w:rsidRDefault="008A666A" w:rsidP="000F69AB">
            <w:pPr>
              <w:tabs>
                <w:tab w:val="left" w:pos="2160"/>
              </w:tabs>
              <w:suppressAutoHyphens/>
              <w:ind w:left="142" w:right="155" w:firstLine="142"/>
              <w:jc w:val="center"/>
              <w:rPr>
                <w:b/>
                <w:iCs/>
                <w:color w:val="C00000"/>
              </w:rPr>
            </w:pPr>
            <w:r w:rsidRPr="00306FA7">
              <w:rPr>
                <w:b/>
                <w:iCs/>
                <w:color w:val="C00000"/>
              </w:rPr>
              <w:t>ЧТО МОЖНО СДЕЛАТЬ СЕГОДНЯ, ЧТОБЫ УВЕЛИЧИТЬ СВОЮ БУДУЩУЮ ПЕНСИЮ?</w:t>
            </w:r>
          </w:p>
          <w:p w:rsidR="003051F9" w:rsidRDefault="003051F9" w:rsidP="000F69AB">
            <w:pPr>
              <w:tabs>
                <w:tab w:val="left" w:pos="2160"/>
              </w:tabs>
              <w:suppressAutoHyphens/>
              <w:ind w:firstLine="34"/>
              <w:jc w:val="center"/>
              <w:rPr>
                <w:b/>
                <w:iCs/>
                <w:color w:val="1F497D"/>
              </w:rPr>
            </w:pPr>
          </w:p>
          <w:p w:rsidR="008A666A" w:rsidRPr="005E7428" w:rsidRDefault="008A666A" w:rsidP="000F69AB">
            <w:pPr>
              <w:tabs>
                <w:tab w:val="left" w:pos="2160"/>
              </w:tabs>
              <w:suppressAutoHyphens/>
              <w:ind w:firstLine="34"/>
              <w:jc w:val="center"/>
              <w:rPr>
                <w:b/>
                <w:iCs/>
                <w:color w:val="1F497D"/>
              </w:rPr>
            </w:pPr>
            <w:r w:rsidRPr="005E7428">
              <w:rPr>
                <w:b/>
                <w:iCs/>
                <w:color w:val="1F497D"/>
              </w:rPr>
              <w:t>РЕШИТЕ, ГДЕ БУДЕТ НАХОДИТЬСЯ НАКОПИТЕЛЬНАЯ ЧАСТЬ ВАШЕЙ ПЕНСИИ</w:t>
            </w:r>
          </w:p>
        </w:tc>
      </w:tr>
    </w:tbl>
    <w:p w:rsidR="008A666A" w:rsidRPr="005E7428" w:rsidRDefault="008A666A" w:rsidP="008A666A">
      <w:pPr>
        <w:numPr>
          <w:ilvl w:val="0"/>
          <w:numId w:val="1"/>
        </w:numPr>
        <w:tabs>
          <w:tab w:val="left" w:pos="-250"/>
          <w:tab w:val="left" w:pos="459"/>
          <w:tab w:val="left" w:pos="1134"/>
          <w:tab w:val="left" w:pos="1338"/>
        </w:tabs>
        <w:suppressAutoHyphens/>
        <w:ind w:left="426" w:right="155"/>
        <w:jc w:val="both"/>
        <w:rPr>
          <w:iCs/>
          <w:color w:val="4F81BD"/>
        </w:rPr>
      </w:pPr>
      <w:r w:rsidRPr="005E7428">
        <w:rPr>
          <w:iCs/>
          <w:color w:val="4F81BD"/>
        </w:rPr>
        <w:t>если Вы хотите, чтобы накопительная часть пенсии находилась в ПФР, то повлиять на доходность Вы можете, выбрав:</w:t>
      </w:r>
    </w:p>
    <w:p w:rsidR="008A666A" w:rsidRPr="00F169A0" w:rsidRDefault="008A666A" w:rsidP="008A666A">
      <w:pPr>
        <w:numPr>
          <w:ilvl w:val="0"/>
          <w:numId w:val="2"/>
        </w:numPr>
        <w:tabs>
          <w:tab w:val="left" w:pos="-250"/>
          <w:tab w:val="left" w:pos="459"/>
          <w:tab w:val="left" w:pos="1134"/>
          <w:tab w:val="left" w:pos="1338"/>
        </w:tabs>
        <w:suppressAutoHyphens/>
        <w:ind w:left="142" w:right="155" w:firstLine="142"/>
        <w:jc w:val="both"/>
        <w:rPr>
          <w:iCs/>
        </w:rPr>
      </w:pPr>
      <w:r w:rsidRPr="00C13733">
        <w:rPr>
          <w:iCs/>
        </w:rPr>
        <w:t xml:space="preserve">вид инвестиционного портфеля ПФР </w:t>
      </w:r>
      <w:r>
        <w:rPr>
          <w:iCs/>
        </w:rPr>
        <w:t xml:space="preserve">В зависимости от того, какие </w:t>
      </w:r>
      <w:r w:rsidRPr="00F169A0">
        <w:rPr>
          <w:iCs/>
        </w:rPr>
        <w:t xml:space="preserve">ценные бумаги разрешается покупать-продавать </w:t>
      </w:r>
      <w:r w:rsidR="003051F9">
        <w:rPr>
          <w:iCs/>
        </w:rPr>
        <w:t>ПФР</w:t>
      </w:r>
      <w:r w:rsidRPr="00F169A0">
        <w:rPr>
          <w:iCs/>
        </w:rPr>
        <w:t xml:space="preserve">, выделяют </w:t>
      </w:r>
      <w:r w:rsidRPr="00F169A0">
        <w:rPr>
          <w:bCs/>
          <w:iCs/>
        </w:rPr>
        <w:t xml:space="preserve">базовый </w:t>
      </w:r>
      <w:r w:rsidRPr="00F169A0">
        <w:rPr>
          <w:iCs/>
        </w:rPr>
        <w:t>и р</w:t>
      </w:r>
      <w:r w:rsidRPr="00F169A0">
        <w:rPr>
          <w:bCs/>
          <w:iCs/>
        </w:rPr>
        <w:t>асширенный инвестиционный портфель</w:t>
      </w:r>
      <w:r w:rsidRPr="00F169A0">
        <w:rPr>
          <w:iCs/>
        </w:rPr>
        <w:t xml:space="preserve"> ПФР. Поскольку разные ценные бумаги приносят разную доходность, то инвестиционный доход по этим портфелям будет разным. Управление инвестированием </w:t>
      </w:r>
      <w:r w:rsidR="003051F9">
        <w:rPr>
          <w:iCs/>
        </w:rPr>
        <w:t>средств ПФР</w:t>
      </w:r>
      <w:r w:rsidRPr="00F169A0">
        <w:rPr>
          <w:iCs/>
        </w:rPr>
        <w:t xml:space="preserve"> осуществля</w:t>
      </w:r>
      <w:r w:rsidR="003051F9">
        <w:rPr>
          <w:iCs/>
        </w:rPr>
        <w:t>ет</w:t>
      </w:r>
      <w:r w:rsidRPr="00F169A0">
        <w:rPr>
          <w:iCs/>
        </w:rPr>
        <w:t xml:space="preserve"> государственная управляющая компания - "Внешэкономбанк".</w:t>
      </w:r>
    </w:p>
    <w:p w:rsidR="008A666A" w:rsidRDefault="008A666A" w:rsidP="008A666A">
      <w:pPr>
        <w:numPr>
          <w:ilvl w:val="0"/>
          <w:numId w:val="2"/>
        </w:numPr>
        <w:tabs>
          <w:tab w:val="left" w:pos="-250"/>
          <w:tab w:val="left" w:pos="459"/>
          <w:tab w:val="left" w:pos="1134"/>
          <w:tab w:val="left" w:pos="1338"/>
        </w:tabs>
        <w:suppressAutoHyphens/>
        <w:ind w:left="142" w:right="155" w:firstLine="142"/>
        <w:jc w:val="both"/>
        <w:rPr>
          <w:iCs/>
        </w:rPr>
      </w:pPr>
      <w:r w:rsidRPr="00F169A0">
        <w:rPr>
          <w:iCs/>
        </w:rPr>
        <w:t>частную управляющую компанию (УК), отобранную ПФР по результатам конкурса. Преимуществом УК является то, что УК имеет более широкий перечень ценных бумаг, в которые могут быть размещены пенсионные накопления, по сравнению с "Внешэкономбанком"</w:t>
      </w:r>
      <w:r w:rsidR="003051F9">
        <w:rPr>
          <w:iCs/>
        </w:rPr>
        <w:t>.</w:t>
      </w:r>
    </w:p>
    <w:p w:rsidR="008A666A" w:rsidRPr="00F169A0" w:rsidRDefault="008A666A" w:rsidP="008A666A">
      <w:pPr>
        <w:tabs>
          <w:tab w:val="left" w:pos="-250"/>
          <w:tab w:val="left" w:pos="459"/>
          <w:tab w:val="left" w:pos="1134"/>
          <w:tab w:val="left" w:pos="1338"/>
        </w:tabs>
        <w:suppressAutoHyphens/>
        <w:ind w:right="155"/>
        <w:jc w:val="both"/>
        <w:rPr>
          <w:iCs/>
        </w:rPr>
      </w:pPr>
    </w:p>
    <w:p w:rsidR="008A666A" w:rsidRPr="003051F9" w:rsidRDefault="008A666A" w:rsidP="008A666A">
      <w:pPr>
        <w:numPr>
          <w:ilvl w:val="0"/>
          <w:numId w:val="1"/>
        </w:numPr>
        <w:tabs>
          <w:tab w:val="left" w:pos="-250"/>
          <w:tab w:val="left" w:pos="459"/>
          <w:tab w:val="left" w:pos="1134"/>
          <w:tab w:val="left" w:pos="1338"/>
        </w:tabs>
        <w:suppressAutoHyphens/>
        <w:ind w:left="142" w:right="155"/>
        <w:jc w:val="both"/>
        <w:rPr>
          <w:iCs/>
        </w:rPr>
      </w:pPr>
      <w:r w:rsidRPr="00F169A0">
        <w:rPr>
          <w:iCs/>
          <w:color w:val="4F81BD"/>
        </w:rPr>
        <w:t>если Вы хотите, чтобы накопительная часть пенсии находилась в негосударственном пенсионном фонде (НПФ)</w:t>
      </w:r>
      <w:r w:rsidRPr="00F169A0">
        <w:rPr>
          <w:iCs/>
        </w:rPr>
        <w:t xml:space="preserve">, то Вы можете перевести средства из ПФР </w:t>
      </w:r>
      <w:proofErr w:type="gramStart"/>
      <w:r w:rsidRPr="00F169A0">
        <w:rPr>
          <w:iCs/>
        </w:rPr>
        <w:t>в</w:t>
      </w:r>
      <w:proofErr w:type="gramEnd"/>
      <w:r w:rsidRPr="00F169A0">
        <w:rPr>
          <w:iCs/>
        </w:rPr>
        <w:t xml:space="preserve"> выбранный Вами НПФ, из числа допущенных ПФР к управлению накопительной частью трудовых пенсий. </w:t>
      </w:r>
      <w:r w:rsidRPr="00F169A0">
        <w:t>Для перевода пенсионных накоплений в УК или НПФ и обратно, необходимо до 31 декабря текущего года подать в ПФР заявление о переводе пенсионных накоплений.</w:t>
      </w:r>
    </w:p>
    <w:p w:rsidR="003051F9" w:rsidRDefault="003051F9" w:rsidP="003051F9">
      <w:pPr>
        <w:tabs>
          <w:tab w:val="left" w:pos="-250"/>
          <w:tab w:val="left" w:pos="459"/>
          <w:tab w:val="left" w:pos="1134"/>
          <w:tab w:val="left" w:pos="1338"/>
        </w:tabs>
        <w:suppressAutoHyphens/>
        <w:ind w:right="155"/>
        <w:jc w:val="both"/>
        <w:rPr>
          <w:iCs/>
        </w:rPr>
      </w:pPr>
    </w:p>
    <w:p w:rsidR="003051F9" w:rsidRPr="004E0A8C" w:rsidRDefault="003758E4" w:rsidP="003051F9">
      <w:pPr>
        <w:spacing w:line="360" w:lineRule="auto"/>
        <w:jc w:val="center"/>
        <w:rPr>
          <w:sz w:val="28"/>
          <w:szCs w:val="28"/>
        </w:rPr>
      </w:pPr>
      <w:hyperlink r:id="rId6" w:tgtFrame="blank" w:history="1">
        <w:r w:rsidR="003051F9" w:rsidRPr="004E0A8C">
          <w:rPr>
            <w:rStyle w:val="a5"/>
            <w:sz w:val="28"/>
            <w:szCs w:val="28"/>
          </w:rPr>
          <w:t>Перечень негосударственных пенсионных фондов, осуществляющих деятельность по обязательному пенсионному страхованию</w:t>
        </w:r>
      </w:hyperlink>
    </w:p>
    <w:p w:rsidR="00B9165B" w:rsidRDefault="00B9165B" w:rsidP="00B9165B">
      <w:pPr>
        <w:tabs>
          <w:tab w:val="left" w:pos="-250"/>
          <w:tab w:val="left" w:pos="459"/>
          <w:tab w:val="left" w:pos="1134"/>
          <w:tab w:val="left" w:pos="1338"/>
        </w:tabs>
        <w:suppressAutoHyphens/>
        <w:ind w:right="155"/>
        <w:jc w:val="center"/>
        <w:rPr>
          <w:b/>
          <w:iCs/>
        </w:rPr>
      </w:pPr>
    </w:p>
    <w:p w:rsidR="00B9165B" w:rsidRPr="00B9165B" w:rsidRDefault="00B9165B" w:rsidP="00B9165B">
      <w:pPr>
        <w:tabs>
          <w:tab w:val="left" w:pos="-250"/>
          <w:tab w:val="left" w:pos="459"/>
          <w:tab w:val="left" w:pos="1134"/>
          <w:tab w:val="left" w:pos="1338"/>
        </w:tabs>
        <w:suppressAutoHyphens/>
        <w:ind w:right="155"/>
        <w:jc w:val="center"/>
        <w:rPr>
          <w:b/>
          <w:iCs/>
          <w:color w:val="C0504D" w:themeColor="accent2"/>
        </w:rPr>
      </w:pPr>
      <w:r w:rsidRPr="00B9165B">
        <w:rPr>
          <w:b/>
          <w:iCs/>
        </w:rPr>
        <w:t xml:space="preserve">Извещения о состоянии специальной части индивидуального лицевого счета (эти извещения ежегодно рассылает ПФР или выбранный Вами НПФ) – важные документы, подтверждающие размер накопленных на Вашем пенсионном счете денежных средств. </w:t>
      </w:r>
      <w:r w:rsidRPr="00B9165B">
        <w:rPr>
          <w:b/>
          <w:iCs/>
          <w:color w:val="C0504D" w:themeColor="accent2"/>
        </w:rPr>
        <w:t>Собирайте и храните эти извещения.</w:t>
      </w:r>
    </w:p>
    <w:p w:rsidR="00B9165B" w:rsidRDefault="00B9165B" w:rsidP="00B9165B">
      <w:pPr>
        <w:tabs>
          <w:tab w:val="left" w:pos="-250"/>
          <w:tab w:val="left" w:pos="459"/>
          <w:tab w:val="left" w:pos="1134"/>
          <w:tab w:val="left" w:pos="1338"/>
        </w:tabs>
        <w:suppressAutoHyphens/>
        <w:ind w:right="155"/>
        <w:jc w:val="both"/>
        <w:rPr>
          <w:b/>
          <w:iCs/>
        </w:rPr>
      </w:pPr>
    </w:p>
    <w:p w:rsidR="003051F9" w:rsidRPr="00F169A0" w:rsidRDefault="003051F9" w:rsidP="003051F9">
      <w:pPr>
        <w:tabs>
          <w:tab w:val="left" w:pos="-250"/>
          <w:tab w:val="left" w:pos="459"/>
          <w:tab w:val="left" w:pos="1134"/>
          <w:tab w:val="left" w:pos="1338"/>
        </w:tabs>
        <w:suppressAutoHyphens/>
        <w:ind w:right="155"/>
        <w:jc w:val="both"/>
        <w:rPr>
          <w:iCs/>
        </w:rPr>
      </w:pPr>
    </w:p>
    <w:p w:rsidR="00333D2C" w:rsidRDefault="00333D2C">
      <w:r>
        <w:br w:type="page"/>
      </w:r>
    </w:p>
    <w:tbl>
      <w:tblPr>
        <w:tblW w:w="10348" w:type="dxa"/>
        <w:tblInd w:w="108" w:type="dxa"/>
        <w:tblLook w:val="01E0" w:firstRow="1" w:lastRow="1" w:firstColumn="1" w:lastColumn="1" w:noHBand="0" w:noVBand="0"/>
      </w:tblPr>
      <w:tblGrid>
        <w:gridCol w:w="10348"/>
      </w:tblGrid>
      <w:tr w:rsidR="008A666A" w:rsidRPr="00F169A0" w:rsidTr="003051F9">
        <w:tc>
          <w:tcPr>
            <w:tcW w:w="10348" w:type="dxa"/>
            <w:shd w:val="clear" w:color="auto" w:fill="auto"/>
          </w:tcPr>
          <w:p w:rsidR="008A666A" w:rsidRPr="00F169A0" w:rsidRDefault="003051F9" w:rsidP="000F69AB">
            <w:pPr>
              <w:tabs>
                <w:tab w:val="left" w:pos="2160"/>
              </w:tabs>
              <w:suppressAutoHyphens/>
              <w:ind w:left="34"/>
              <w:jc w:val="center"/>
              <w:rPr>
                <w:b/>
                <w:iCs/>
                <w:color w:val="1F497D"/>
              </w:rPr>
            </w:pPr>
            <w:r w:rsidRPr="003051F9">
              <w:rPr>
                <w:b/>
                <w:iCs/>
                <w:color w:val="C0504D" w:themeColor="accent2"/>
              </w:rPr>
              <w:lastRenderedPageBreak/>
              <w:t>ВЫ МОЖЕТЕ УВЕЛИЧИТЬ</w:t>
            </w:r>
            <w:r w:rsidR="008A666A" w:rsidRPr="003051F9">
              <w:rPr>
                <w:b/>
                <w:iCs/>
                <w:color w:val="C0504D" w:themeColor="accent2"/>
              </w:rPr>
              <w:t xml:space="preserve"> НАКОПИТЕЛЬНУЮ ЧАСТЬ СВОЕЙ ПЕНСИИ </w:t>
            </w:r>
          </w:p>
        </w:tc>
      </w:tr>
    </w:tbl>
    <w:p w:rsidR="003051F9" w:rsidRDefault="003051F9" w:rsidP="003051F9">
      <w:pPr>
        <w:tabs>
          <w:tab w:val="left" w:pos="-250"/>
          <w:tab w:val="left" w:pos="459"/>
          <w:tab w:val="left" w:pos="1134"/>
          <w:tab w:val="left" w:pos="1338"/>
        </w:tabs>
        <w:suppressAutoHyphens/>
        <w:ind w:right="155"/>
        <w:jc w:val="both"/>
        <w:rPr>
          <w:iCs/>
          <w:color w:val="1F497D"/>
        </w:rPr>
      </w:pPr>
    </w:p>
    <w:p w:rsidR="008A666A" w:rsidRPr="003051F9" w:rsidRDefault="003051F9" w:rsidP="003051F9">
      <w:pPr>
        <w:numPr>
          <w:ilvl w:val="0"/>
          <w:numId w:val="1"/>
        </w:numPr>
        <w:tabs>
          <w:tab w:val="left" w:pos="-250"/>
          <w:tab w:val="left" w:pos="459"/>
          <w:tab w:val="left" w:pos="1134"/>
          <w:tab w:val="left" w:pos="1338"/>
        </w:tabs>
        <w:suppressAutoHyphens/>
        <w:ind w:left="426" w:right="155"/>
        <w:jc w:val="center"/>
        <w:rPr>
          <w:b/>
          <w:iCs/>
          <w:color w:val="1F497D"/>
        </w:rPr>
      </w:pPr>
      <w:r w:rsidRPr="003051F9">
        <w:rPr>
          <w:b/>
          <w:iCs/>
          <w:color w:val="1F497D"/>
        </w:rPr>
        <w:t>УЧАСТВУЙТЕ В ГОСУДАРСТВЕННОЙ ПРОГРАММЕ СОФИНАНСИРОВАНИЯ ПЕНСИЙ</w:t>
      </w:r>
    </w:p>
    <w:p w:rsidR="008A666A" w:rsidRPr="00F169A0" w:rsidRDefault="008A666A" w:rsidP="008A666A">
      <w:pPr>
        <w:tabs>
          <w:tab w:val="left" w:pos="-250"/>
          <w:tab w:val="left" w:pos="459"/>
          <w:tab w:val="left" w:pos="1134"/>
          <w:tab w:val="left" w:pos="1338"/>
        </w:tabs>
        <w:suppressAutoHyphens/>
        <w:ind w:left="142" w:right="153"/>
        <w:jc w:val="both"/>
        <w:rPr>
          <w:iCs/>
        </w:rPr>
      </w:pPr>
      <w:r w:rsidRPr="00F169A0">
        <w:rPr>
          <w:iCs/>
        </w:rPr>
        <w:t xml:space="preserve">Программа открыта для всех граждан, включая родившихся до 1967 года и пенсионеров, и предлагает вступившим в нее делать добровольные взносы в накопительную часть трудовой пенсии. Личный взнос должен быть не меньше 1 000 рублей в месяц или 2 000 рублей в год. </w:t>
      </w:r>
    </w:p>
    <w:p w:rsidR="008A666A" w:rsidRPr="00F169A0" w:rsidRDefault="008A666A" w:rsidP="008A666A">
      <w:pPr>
        <w:tabs>
          <w:tab w:val="left" w:pos="-250"/>
          <w:tab w:val="left" w:pos="459"/>
          <w:tab w:val="left" w:pos="1134"/>
          <w:tab w:val="left" w:pos="1338"/>
        </w:tabs>
        <w:suppressAutoHyphens/>
        <w:ind w:left="142" w:right="153"/>
        <w:jc w:val="both"/>
        <w:rPr>
          <w:iCs/>
        </w:rPr>
      </w:pPr>
      <w:r w:rsidRPr="00F169A0">
        <w:rPr>
          <w:iCs/>
        </w:rPr>
        <w:t xml:space="preserve">Государство за счет своих средств переводит на накопительную часть работника столько же средств, сколько внес сам работник, но не более 12 000 рублей в год. </w:t>
      </w:r>
    </w:p>
    <w:p w:rsidR="008A666A" w:rsidRDefault="008A666A" w:rsidP="008A666A">
      <w:pPr>
        <w:tabs>
          <w:tab w:val="left" w:pos="-250"/>
          <w:tab w:val="left" w:pos="459"/>
          <w:tab w:val="left" w:pos="1134"/>
          <w:tab w:val="left" w:pos="1338"/>
        </w:tabs>
        <w:suppressAutoHyphens/>
        <w:ind w:left="142" w:right="153"/>
        <w:jc w:val="both"/>
        <w:rPr>
          <w:iCs/>
        </w:rPr>
      </w:pPr>
      <w:r w:rsidRPr="00F169A0">
        <w:rPr>
          <w:iCs/>
        </w:rPr>
        <w:t>Стать участником Программы можно до 1 октября 2013 года.</w:t>
      </w:r>
    </w:p>
    <w:p w:rsidR="003051F9" w:rsidRDefault="003051F9" w:rsidP="008A666A">
      <w:pPr>
        <w:tabs>
          <w:tab w:val="left" w:pos="-250"/>
          <w:tab w:val="left" w:pos="459"/>
          <w:tab w:val="left" w:pos="1134"/>
          <w:tab w:val="left" w:pos="1338"/>
        </w:tabs>
        <w:suppressAutoHyphens/>
        <w:ind w:left="142" w:right="153"/>
        <w:jc w:val="both"/>
        <w:rPr>
          <w:iCs/>
        </w:rPr>
      </w:pPr>
    </w:p>
    <w:p w:rsidR="003051F9" w:rsidRPr="003051F9" w:rsidRDefault="003051F9" w:rsidP="003051F9">
      <w:pPr>
        <w:spacing w:line="360" w:lineRule="auto"/>
        <w:jc w:val="both"/>
        <w:rPr>
          <w:iCs/>
        </w:rPr>
      </w:pPr>
      <w:r w:rsidRPr="003051F9">
        <w:rPr>
          <w:iCs/>
        </w:rPr>
        <w:t xml:space="preserve">Подробная информация о Программе доступна </w:t>
      </w:r>
      <w:hyperlink r:id="rId7" w:tgtFrame="blank" w:history="1">
        <w:r w:rsidRPr="003051F9">
          <w:rPr>
            <w:rStyle w:val="a5"/>
            <w:iCs/>
          </w:rPr>
          <w:t>здесь</w:t>
        </w:r>
      </w:hyperlink>
      <w:r w:rsidRPr="003051F9">
        <w:rPr>
          <w:iCs/>
        </w:rPr>
        <w:t xml:space="preserve">. Также на Ваши вопросы готовы ответить по телефону </w:t>
      </w:r>
      <w:r w:rsidRPr="003051F9">
        <w:rPr>
          <w:b/>
          <w:bCs/>
          <w:iCs/>
        </w:rPr>
        <w:t>8-800-505-5555</w:t>
      </w:r>
      <w:r w:rsidRPr="003051F9">
        <w:rPr>
          <w:iCs/>
        </w:rPr>
        <w:t xml:space="preserve"> (звонок по России бесплатный).</w:t>
      </w:r>
    </w:p>
    <w:p w:rsidR="003051F9" w:rsidRPr="003051F9" w:rsidRDefault="003051F9" w:rsidP="003051F9">
      <w:pPr>
        <w:spacing w:line="360" w:lineRule="auto"/>
        <w:jc w:val="center"/>
        <w:rPr>
          <w:b/>
          <w:bCs/>
          <w:iCs/>
          <w:color w:val="C0504D" w:themeColor="accent2"/>
        </w:rPr>
      </w:pPr>
      <w:r w:rsidRPr="003051F9">
        <w:rPr>
          <w:b/>
          <w:bCs/>
          <w:iCs/>
          <w:color w:val="C0504D" w:themeColor="accent2"/>
        </w:rPr>
        <w:t>Как работает Программа?</w:t>
      </w:r>
    </w:p>
    <w:p w:rsidR="003051F9" w:rsidRPr="003051F9" w:rsidRDefault="003051F9" w:rsidP="003051F9">
      <w:pPr>
        <w:spacing w:line="360" w:lineRule="auto"/>
        <w:jc w:val="both"/>
        <w:rPr>
          <w:iCs/>
        </w:rPr>
      </w:pPr>
      <w:r w:rsidRPr="003051F9">
        <w:rPr>
          <w:iCs/>
        </w:rPr>
        <w:t xml:space="preserve">Если Вы перечисляете на накопительную часть своей пенсии 2 000 и более рублей в год, государство удваивает эти деньги: на Ваш индивидуальный пенсионный счет будет перечислена такая же сумма в пределах 12 000 рублей в год. </w:t>
      </w:r>
    </w:p>
    <w:p w:rsidR="003051F9" w:rsidRPr="003051F9" w:rsidRDefault="003051F9" w:rsidP="003051F9">
      <w:pPr>
        <w:spacing w:line="360" w:lineRule="auto"/>
        <w:jc w:val="both"/>
        <w:rPr>
          <w:b/>
          <w:bCs/>
          <w:iCs/>
        </w:rPr>
      </w:pPr>
      <w:r w:rsidRPr="003051F9">
        <w:rPr>
          <w:b/>
          <w:bCs/>
          <w:iCs/>
        </w:rPr>
        <w:t xml:space="preserve">Если Вы перечисляете на накопительную часть своей пенсии менее 2 000 рублей в год, </w:t>
      </w:r>
      <w:proofErr w:type="spellStart"/>
      <w:r w:rsidRPr="003051F9">
        <w:rPr>
          <w:b/>
          <w:bCs/>
          <w:iCs/>
        </w:rPr>
        <w:t>софинансирование</w:t>
      </w:r>
      <w:proofErr w:type="spellEnd"/>
      <w:r w:rsidRPr="003051F9">
        <w:rPr>
          <w:b/>
          <w:bCs/>
          <w:iCs/>
        </w:rPr>
        <w:t xml:space="preserve"> пенсии государством не осуществляется. </w:t>
      </w:r>
    </w:p>
    <w:p w:rsidR="003051F9" w:rsidRPr="003051F9" w:rsidRDefault="003051F9" w:rsidP="003051F9">
      <w:pPr>
        <w:spacing w:line="360" w:lineRule="auto"/>
        <w:jc w:val="center"/>
        <w:rPr>
          <w:b/>
          <w:bCs/>
          <w:iCs/>
        </w:rPr>
      </w:pPr>
      <w:r w:rsidRPr="003051F9">
        <w:rPr>
          <w:b/>
          <w:bCs/>
          <w:iCs/>
        </w:rPr>
        <w:t>Пример:</w:t>
      </w:r>
    </w:p>
    <w:p w:rsidR="003051F9" w:rsidRPr="003051F9" w:rsidRDefault="003051F9" w:rsidP="003051F9">
      <w:pPr>
        <w:spacing w:line="360" w:lineRule="auto"/>
        <w:jc w:val="both"/>
        <w:rPr>
          <w:iCs/>
        </w:rPr>
      </w:pPr>
      <w:r w:rsidRPr="003051F9">
        <w:rPr>
          <w:iCs/>
        </w:rPr>
        <w:t>Вы платите 2 000 рублей в год - государство доплачивает еще 2 000 рублей.</w:t>
      </w:r>
    </w:p>
    <w:p w:rsidR="003051F9" w:rsidRPr="003051F9" w:rsidRDefault="003051F9" w:rsidP="003051F9">
      <w:pPr>
        <w:spacing w:line="360" w:lineRule="auto"/>
        <w:jc w:val="both"/>
        <w:rPr>
          <w:iCs/>
        </w:rPr>
      </w:pPr>
      <w:r w:rsidRPr="003051F9">
        <w:rPr>
          <w:iCs/>
        </w:rPr>
        <w:t xml:space="preserve">Итого, на Ваш индивидуальный счет в Пенсионном фонде будет зачислено 4 000 рублей в год. </w:t>
      </w:r>
    </w:p>
    <w:p w:rsidR="003051F9" w:rsidRPr="003051F9" w:rsidRDefault="003051F9" w:rsidP="003051F9">
      <w:pPr>
        <w:spacing w:line="360" w:lineRule="auto"/>
        <w:jc w:val="both"/>
        <w:rPr>
          <w:iCs/>
        </w:rPr>
      </w:pPr>
      <w:r w:rsidRPr="003051F9">
        <w:rPr>
          <w:iCs/>
        </w:rPr>
        <w:t xml:space="preserve">Если Вы платите 12 000 рублей в год - государство доплатит еще 12 000 рублей. </w:t>
      </w:r>
    </w:p>
    <w:p w:rsidR="003051F9" w:rsidRPr="003051F9" w:rsidRDefault="003051F9" w:rsidP="003051F9">
      <w:pPr>
        <w:spacing w:line="360" w:lineRule="auto"/>
        <w:jc w:val="both"/>
        <w:rPr>
          <w:iCs/>
        </w:rPr>
      </w:pPr>
      <w:r w:rsidRPr="003051F9">
        <w:rPr>
          <w:iCs/>
        </w:rPr>
        <w:t xml:space="preserve">Итого, за год Ваш счет пополнится на 24 000 рублей. </w:t>
      </w:r>
    </w:p>
    <w:p w:rsidR="003051F9" w:rsidRPr="003051F9" w:rsidRDefault="003051F9" w:rsidP="003051F9">
      <w:pPr>
        <w:spacing w:line="360" w:lineRule="auto"/>
        <w:jc w:val="both"/>
        <w:rPr>
          <w:iCs/>
        </w:rPr>
      </w:pPr>
      <w:r w:rsidRPr="003051F9">
        <w:rPr>
          <w:iCs/>
        </w:rPr>
        <w:t>Вы можете вносить в фонд своей будущей пенсии и более 12 000 рублей год, но взнос государства при этом не превысит 12 000 рублей в год.</w:t>
      </w:r>
    </w:p>
    <w:p w:rsidR="003051F9" w:rsidRPr="003051F9" w:rsidRDefault="003051F9" w:rsidP="003051F9">
      <w:pPr>
        <w:spacing w:line="360" w:lineRule="auto"/>
        <w:jc w:val="center"/>
        <w:rPr>
          <w:b/>
          <w:bCs/>
          <w:iCs/>
        </w:rPr>
      </w:pPr>
      <w:r w:rsidRPr="003051F9">
        <w:rPr>
          <w:b/>
          <w:bCs/>
          <w:iCs/>
        </w:rPr>
        <w:t>Пример:</w:t>
      </w:r>
    </w:p>
    <w:p w:rsidR="003051F9" w:rsidRPr="003051F9" w:rsidRDefault="003051F9" w:rsidP="003051F9">
      <w:pPr>
        <w:spacing w:line="360" w:lineRule="auto"/>
        <w:jc w:val="both"/>
        <w:rPr>
          <w:iCs/>
        </w:rPr>
      </w:pPr>
      <w:r w:rsidRPr="003051F9">
        <w:rPr>
          <w:iCs/>
        </w:rPr>
        <w:t xml:space="preserve">Вы внесли 15 000 рублей в год, государство - 12 000 рублей. </w:t>
      </w:r>
    </w:p>
    <w:p w:rsidR="003051F9" w:rsidRPr="003051F9" w:rsidRDefault="003051F9" w:rsidP="003051F9">
      <w:pPr>
        <w:spacing w:line="360" w:lineRule="auto"/>
        <w:jc w:val="both"/>
        <w:rPr>
          <w:iCs/>
        </w:rPr>
      </w:pPr>
      <w:r w:rsidRPr="003051F9">
        <w:rPr>
          <w:iCs/>
        </w:rPr>
        <w:t xml:space="preserve">Итого, за год Ваш индивидуальный счет в Пенсионном фонде пополнится на 27 000 рублей. </w:t>
      </w:r>
    </w:p>
    <w:p w:rsidR="003051F9" w:rsidRPr="003051F9" w:rsidRDefault="003051F9" w:rsidP="003051F9">
      <w:pPr>
        <w:spacing w:line="360" w:lineRule="auto"/>
        <w:jc w:val="both"/>
        <w:rPr>
          <w:iCs/>
        </w:rPr>
      </w:pPr>
    </w:p>
    <w:p w:rsidR="003051F9" w:rsidRPr="003051F9" w:rsidRDefault="003051F9" w:rsidP="003051F9">
      <w:pPr>
        <w:spacing w:line="360" w:lineRule="auto"/>
        <w:jc w:val="both"/>
        <w:rPr>
          <w:iCs/>
        </w:rPr>
      </w:pPr>
      <w:r w:rsidRPr="003051F9">
        <w:rPr>
          <w:iCs/>
        </w:rPr>
        <w:t xml:space="preserve">Нынешние пенсионеры могут участвовать в Программе на общих условиях. Государство </w:t>
      </w:r>
      <w:proofErr w:type="spellStart"/>
      <w:r w:rsidRPr="003051F9">
        <w:rPr>
          <w:iCs/>
        </w:rPr>
        <w:t>софинансирует</w:t>
      </w:r>
      <w:proofErr w:type="spellEnd"/>
      <w:r w:rsidRPr="003051F9">
        <w:rPr>
          <w:iCs/>
        </w:rPr>
        <w:t xml:space="preserve"> их взносы на накопительную часть пенсии в пределах 12 000 рублей в год. То есть индивидуальный счет пенсионера в Пенсионном фонде может за год суммарно пополниться на сумму до 24 000 рублей в год. Особенно это выгодно работающим пенсионерам. </w:t>
      </w:r>
    </w:p>
    <w:p w:rsidR="003051F9" w:rsidRPr="003051F9" w:rsidRDefault="003051F9" w:rsidP="003051F9">
      <w:pPr>
        <w:spacing w:line="360" w:lineRule="auto"/>
        <w:jc w:val="both"/>
        <w:rPr>
          <w:iCs/>
        </w:rPr>
      </w:pPr>
    </w:p>
    <w:p w:rsidR="003051F9" w:rsidRPr="003051F9" w:rsidRDefault="003051F9" w:rsidP="003051F9">
      <w:pPr>
        <w:spacing w:line="360" w:lineRule="auto"/>
        <w:jc w:val="both"/>
        <w:rPr>
          <w:iCs/>
        </w:rPr>
      </w:pPr>
      <w:r w:rsidRPr="003051F9">
        <w:rPr>
          <w:iCs/>
        </w:rPr>
        <w:t>Особые условия для участия в Программе государственного софинансирования пенсии созданы для граждан, которые достигли общеустановленного пенсионного возраста (для женщин – 55 лет, для мужчин – 60 лет), но не обратились в Пенсионный фонд за начислением ни одной из частей трудовой пенсии.</w:t>
      </w:r>
    </w:p>
    <w:p w:rsidR="003051F9" w:rsidRPr="003051F9" w:rsidRDefault="003051F9" w:rsidP="003051F9">
      <w:pPr>
        <w:spacing w:line="360" w:lineRule="auto"/>
        <w:jc w:val="both"/>
        <w:rPr>
          <w:iCs/>
        </w:rPr>
      </w:pPr>
      <w:r w:rsidRPr="003051F9">
        <w:rPr>
          <w:iCs/>
        </w:rPr>
        <w:lastRenderedPageBreak/>
        <w:t>Для них объем государственного софинансирования увеличивается в четыре раза, но не превышает 48 000 рублей в год. То есть, перечислив 12 000 рублей в год на накопительную часть пенсии, с учетом взноса государства гражданин за год пополнит свой индивидуальный пенсионный счет на 60 000 рублей в год.</w:t>
      </w:r>
    </w:p>
    <w:p w:rsidR="003051F9" w:rsidRPr="003051F9" w:rsidRDefault="003051F9" w:rsidP="008A666A">
      <w:pPr>
        <w:tabs>
          <w:tab w:val="left" w:pos="-250"/>
          <w:tab w:val="left" w:pos="459"/>
          <w:tab w:val="left" w:pos="1134"/>
          <w:tab w:val="left" w:pos="1338"/>
        </w:tabs>
        <w:suppressAutoHyphens/>
        <w:ind w:left="142" w:right="153"/>
        <w:jc w:val="both"/>
        <w:rPr>
          <w:iCs/>
          <w:sz w:val="28"/>
          <w:szCs w:val="28"/>
        </w:rPr>
      </w:pPr>
    </w:p>
    <w:p w:rsidR="003051F9" w:rsidRDefault="003051F9" w:rsidP="008A666A">
      <w:pPr>
        <w:tabs>
          <w:tab w:val="left" w:pos="-250"/>
          <w:tab w:val="left" w:pos="459"/>
          <w:tab w:val="left" w:pos="1134"/>
          <w:tab w:val="left" w:pos="1338"/>
        </w:tabs>
        <w:suppressAutoHyphens/>
        <w:ind w:left="142" w:right="153"/>
        <w:jc w:val="both"/>
        <w:rPr>
          <w:iCs/>
        </w:rPr>
      </w:pPr>
    </w:p>
    <w:p w:rsidR="008A666A" w:rsidRPr="003051F9" w:rsidRDefault="003051F9" w:rsidP="003051F9">
      <w:pPr>
        <w:numPr>
          <w:ilvl w:val="0"/>
          <w:numId w:val="1"/>
        </w:numPr>
        <w:tabs>
          <w:tab w:val="left" w:pos="-250"/>
          <w:tab w:val="left" w:pos="459"/>
          <w:tab w:val="left" w:pos="1134"/>
          <w:tab w:val="left" w:pos="1338"/>
        </w:tabs>
        <w:suppressAutoHyphens/>
        <w:spacing w:after="120"/>
        <w:ind w:left="426" w:right="155"/>
        <w:jc w:val="center"/>
        <w:rPr>
          <w:b/>
          <w:iCs/>
          <w:color w:val="1F497D"/>
        </w:rPr>
      </w:pPr>
      <w:r w:rsidRPr="003051F9">
        <w:rPr>
          <w:b/>
          <w:iCs/>
          <w:color w:val="1F497D"/>
        </w:rPr>
        <w:t>ИСПОЛЬЗУЙТЕ ВЕСЬ ИЛИ ЧАСТЬ МАТЕРИНСКОГО (СЕМЕЙНОГО) КАПИТАЛА НА УВЕЛИЧЕНИЕ НАКОПИТЕЛЬНОЙ ЧАСТИ ПЕНСИИ</w:t>
      </w:r>
    </w:p>
    <w:p w:rsidR="008A666A" w:rsidRDefault="008A666A" w:rsidP="008A666A">
      <w:pPr>
        <w:tabs>
          <w:tab w:val="left" w:pos="-250"/>
          <w:tab w:val="left" w:pos="459"/>
          <w:tab w:val="left" w:pos="1134"/>
          <w:tab w:val="left" w:pos="1338"/>
        </w:tabs>
        <w:suppressAutoHyphens/>
        <w:spacing w:after="120"/>
        <w:ind w:left="142" w:right="155"/>
        <w:jc w:val="both"/>
        <w:rPr>
          <w:iCs/>
        </w:rPr>
      </w:pPr>
      <w:r w:rsidRPr="00F169A0">
        <w:rPr>
          <w:bCs/>
          <w:iCs/>
        </w:rPr>
        <w:t>Право на получение материнского (семейного) капитала имеют семьи, в которых с 01.01.2007г. появился второй ребенок (третий или последующие дети), если при рождении предыдущих детей право на получение этих средств не оформлялось. Размер материнского к</w:t>
      </w:r>
      <w:r w:rsidRPr="00E34964">
        <w:rPr>
          <w:bCs/>
          <w:iCs/>
        </w:rPr>
        <w:t xml:space="preserve">апитала в 2011 году </w:t>
      </w:r>
      <w:r>
        <w:rPr>
          <w:bCs/>
          <w:iCs/>
        </w:rPr>
        <w:t>составил 365 </w:t>
      </w:r>
      <w:r w:rsidRPr="00E34964">
        <w:rPr>
          <w:bCs/>
          <w:iCs/>
        </w:rPr>
        <w:t>698</w:t>
      </w:r>
      <w:r>
        <w:rPr>
          <w:bCs/>
          <w:iCs/>
        </w:rPr>
        <w:t>,4</w:t>
      </w:r>
      <w:r w:rsidRPr="00E34964">
        <w:rPr>
          <w:bCs/>
          <w:iCs/>
        </w:rPr>
        <w:t xml:space="preserve"> рублей</w:t>
      </w:r>
      <w:r>
        <w:rPr>
          <w:bCs/>
          <w:iCs/>
        </w:rPr>
        <w:t>. Распорядиться этими средствами можно только в безналичной форме и только через три года, после получения права на него.</w:t>
      </w:r>
    </w:p>
    <w:p w:rsidR="000F39B3" w:rsidRPr="008A666A" w:rsidRDefault="000F39B3"/>
    <w:tbl>
      <w:tblPr>
        <w:tblW w:w="10206" w:type="dxa"/>
        <w:tblInd w:w="108" w:type="dxa"/>
        <w:tblLook w:val="01E0" w:firstRow="1" w:lastRow="1" w:firstColumn="1" w:lastColumn="1" w:noHBand="0" w:noVBand="0"/>
      </w:tblPr>
      <w:tblGrid>
        <w:gridCol w:w="10206"/>
      </w:tblGrid>
      <w:tr w:rsidR="008A666A" w:rsidRPr="00F536AD" w:rsidTr="003051F9">
        <w:tc>
          <w:tcPr>
            <w:tcW w:w="10206" w:type="dxa"/>
            <w:shd w:val="clear" w:color="auto" w:fill="auto"/>
          </w:tcPr>
          <w:p w:rsidR="008A666A" w:rsidRPr="00F536AD" w:rsidRDefault="008A666A" w:rsidP="000F69AB">
            <w:pPr>
              <w:tabs>
                <w:tab w:val="left" w:pos="2160"/>
              </w:tabs>
              <w:suppressAutoHyphens/>
              <w:spacing w:after="120"/>
              <w:ind w:right="13"/>
              <w:jc w:val="center"/>
              <w:rPr>
                <w:b/>
                <w:iCs/>
                <w:color w:val="1F497D"/>
              </w:rPr>
            </w:pPr>
            <w:r w:rsidRPr="00690AF0">
              <w:rPr>
                <w:b/>
                <w:iCs/>
                <w:color w:val="1F497D"/>
              </w:rPr>
              <w:t>ПОМИМО ТРУДОВОЙ ПЕНСИИ ПО СТАРОСТИ МОЖНО ПОЛУЧАТЬ ДОПОЛНИТЕЛЬНУЮ НЕГОСУДАРСТВЕННУЮ ПЕНСИЮ</w:t>
            </w:r>
          </w:p>
        </w:tc>
      </w:tr>
    </w:tbl>
    <w:p w:rsidR="008A666A" w:rsidRDefault="008A666A" w:rsidP="008A666A">
      <w:pPr>
        <w:tabs>
          <w:tab w:val="left" w:pos="-250"/>
          <w:tab w:val="left" w:pos="459"/>
          <w:tab w:val="left" w:pos="1134"/>
          <w:tab w:val="left" w:pos="1338"/>
        </w:tabs>
        <w:suppressAutoHyphens/>
        <w:spacing w:after="120"/>
        <w:ind w:left="142" w:right="155"/>
        <w:jc w:val="both"/>
        <w:rPr>
          <w:iCs/>
        </w:rPr>
      </w:pPr>
      <w:r>
        <w:t xml:space="preserve">Каждый гражданин имеет возможность </w:t>
      </w:r>
      <w:r w:rsidRPr="0054111F">
        <w:t>формировать дополнительную пенсию за счет регулярных добровольных отчислений в выбранный им НПФ, с которым у него заключен договор добровольного пенсионного страхования или обеспечения – пенсионный договор.</w:t>
      </w:r>
    </w:p>
    <w:p w:rsidR="008A666A" w:rsidRDefault="008A666A" w:rsidP="008A666A">
      <w:pPr>
        <w:tabs>
          <w:tab w:val="left" w:pos="-250"/>
          <w:tab w:val="left" w:pos="459"/>
          <w:tab w:val="left" w:pos="1134"/>
          <w:tab w:val="left" w:pos="1338"/>
        </w:tabs>
        <w:suppressAutoHyphens/>
        <w:spacing w:after="120"/>
        <w:ind w:left="142" w:right="155"/>
        <w:jc w:val="center"/>
        <w:rPr>
          <w:iCs/>
        </w:rPr>
      </w:pPr>
    </w:p>
    <w:p w:rsidR="008A666A" w:rsidRDefault="008A666A" w:rsidP="008A666A">
      <w:pPr>
        <w:tabs>
          <w:tab w:val="left" w:pos="-250"/>
          <w:tab w:val="left" w:pos="459"/>
          <w:tab w:val="left" w:pos="1134"/>
          <w:tab w:val="left" w:pos="1338"/>
        </w:tabs>
        <w:suppressAutoHyphens/>
        <w:spacing w:after="120"/>
        <w:ind w:left="142" w:right="155"/>
        <w:jc w:val="both"/>
      </w:pPr>
      <w:r w:rsidRPr="0054111F">
        <w:t>Заключение пенсионного договора дает возможность</w:t>
      </w:r>
      <w:r w:rsidRPr="00430B78">
        <w:t xml:space="preserve"> </w:t>
      </w:r>
      <w:r>
        <w:t>самостоятельно определять</w:t>
      </w:r>
      <w:r w:rsidRPr="0054111F">
        <w:t>:</w:t>
      </w:r>
      <w:r>
        <w:t xml:space="preserve"> </w:t>
      </w:r>
    </w:p>
    <w:p w:rsidR="008A666A" w:rsidRDefault="008A666A" w:rsidP="008A666A">
      <w:pPr>
        <w:numPr>
          <w:ilvl w:val="0"/>
          <w:numId w:val="3"/>
        </w:numPr>
        <w:tabs>
          <w:tab w:val="left" w:pos="-250"/>
          <w:tab w:val="left" w:pos="459"/>
          <w:tab w:val="left" w:pos="1134"/>
          <w:tab w:val="left" w:pos="1338"/>
        </w:tabs>
        <w:suppressAutoHyphens/>
        <w:spacing w:after="120"/>
        <w:ind w:left="426" w:right="155"/>
        <w:jc w:val="both"/>
      </w:pPr>
      <w:r>
        <w:t>размер и порядок внесения пенсионных взносов,</w:t>
      </w:r>
    </w:p>
    <w:p w:rsidR="008A666A" w:rsidRDefault="008A666A" w:rsidP="008A666A">
      <w:pPr>
        <w:numPr>
          <w:ilvl w:val="0"/>
          <w:numId w:val="3"/>
        </w:numPr>
        <w:tabs>
          <w:tab w:val="left" w:pos="-250"/>
          <w:tab w:val="left" w:pos="459"/>
          <w:tab w:val="left" w:pos="1134"/>
          <w:tab w:val="left" w:pos="1338"/>
        </w:tabs>
        <w:suppressAutoHyphens/>
        <w:spacing w:after="120"/>
        <w:ind w:left="426" w:right="155"/>
        <w:jc w:val="both"/>
      </w:pPr>
      <w:r>
        <w:t xml:space="preserve">размер и период получения будущей пенсии - в течение определенного периода или пожизненно, </w:t>
      </w:r>
    </w:p>
    <w:p w:rsidR="008A666A" w:rsidRDefault="008A666A" w:rsidP="008A666A">
      <w:pPr>
        <w:numPr>
          <w:ilvl w:val="0"/>
          <w:numId w:val="3"/>
        </w:numPr>
        <w:tabs>
          <w:tab w:val="left" w:pos="-250"/>
          <w:tab w:val="left" w:pos="459"/>
          <w:tab w:val="left" w:pos="1134"/>
          <w:tab w:val="left" w:pos="1338"/>
        </w:tabs>
        <w:suppressAutoHyphens/>
        <w:spacing w:after="120"/>
        <w:ind w:left="426" w:right="155"/>
        <w:jc w:val="both"/>
      </w:pPr>
      <w:r>
        <w:t xml:space="preserve">правопреемников (наследников) и т.д. </w:t>
      </w:r>
    </w:p>
    <w:p w:rsidR="008A666A" w:rsidRDefault="008A666A" w:rsidP="008A666A">
      <w:pPr>
        <w:numPr>
          <w:ilvl w:val="0"/>
          <w:numId w:val="3"/>
        </w:numPr>
        <w:tabs>
          <w:tab w:val="left" w:pos="-250"/>
          <w:tab w:val="left" w:pos="459"/>
          <w:tab w:val="left" w:pos="1134"/>
          <w:tab w:val="left" w:pos="1338"/>
        </w:tabs>
        <w:suppressAutoHyphens/>
        <w:spacing w:after="120"/>
        <w:ind w:left="426" w:right="155"/>
        <w:jc w:val="both"/>
      </w:pPr>
      <w:r>
        <w:t>момент расторжения договора и получения уплаченных взносов и  начисленного на них НПФ дохода.</w:t>
      </w:r>
    </w:p>
    <w:p w:rsidR="008A666A" w:rsidRDefault="008A666A" w:rsidP="008A666A">
      <w:pPr>
        <w:tabs>
          <w:tab w:val="left" w:pos="-250"/>
          <w:tab w:val="left" w:pos="459"/>
          <w:tab w:val="left" w:pos="1134"/>
          <w:tab w:val="left" w:pos="1338"/>
        </w:tabs>
        <w:suppressAutoHyphens/>
        <w:spacing w:after="120"/>
        <w:ind w:left="142" w:right="155"/>
        <w:jc w:val="both"/>
        <w:rPr>
          <w:b/>
        </w:rPr>
      </w:pPr>
    </w:p>
    <w:p w:rsidR="00B9165B" w:rsidRPr="00915CC5" w:rsidRDefault="00B9165B" w:rsidP="00B9165B">
      <w:pPr>
        <w:tabs>
          <w:tab w:val="left" w:pos="-250"/>
          <w:tab w:val="left" w:pos="459"/>
          <w:tab w:val="left" w:pos="1134"/>
          <w:tab w:val="left" w:pos="1338"/>
        </w:tabs>
        <w:suppressAutoHyphens/>
        <w:spacing w:after="120"/>
        <w:ind w:left="142" w:right="155"/>
        <w:jc w:val="center"/>
        <w:rPr>
          <w:b/>
          <w:color w:val="C0504D"/>
        </w:rPr>
      </w:pPr>
      <w:r w:rsidRPr="00915CC5">
        <w:rPr>
          <w:b/>
          <w:color w:val="C0504D"/>
        </w:rPr>
        <w:t xml:space="preserve">ПРИ ВЫБОРЕ </w:t>
      </w:r>
      <w:r>
        <w:rPr>
          <w:b/>
          <w:color w:val="C0504D"/>
        </w:rPr>
        <w:t xml:space="preserve">НЕГОСУДАРСТВЕННОГО ПЕНСИОННОГО </w:t>
      </w:r>
      <w:r w:rsidRPr="00915CC5">
        <w:rPr>
          <w:b/>
          <w:color w:val="C0504D"/>
        </w:rPr>
        <w:t xml:space="preserve">ФОНДА ВСЕГДА ОБРАЩАЙТЕ ВНИМАНИЕ </w:t>
      </w:r>
      <w:proofErr w:type="gramStart"/>
      <w:r w:rsidRPr="00915CC5">
        <w:rPr>
          <w:b/>
          <w:color w:val="C0504D"/>
        </w:rPr>
        <w:t>НА</w:t>
      </w:r>
      <w:proofErr w:type="gramEnd"/>
      <w:r w:rsidRPr="00915CC5">
        <w:rPr>
          <w:b/>
          <w:color w:val="C0504D"/>
        </w:rPr>
        <w:t>:</w:t>
      </w:r>
    </w:p>
    <w:p w:rsidR="00B9165B" w:rsidRPr="00915CC5" w:rsidRDefault="00B9165B" w:rsidP="00B9165B">
      <w:pPr>
        <w:tabs>
          <w:tab w:val="left" w:pos="-250"/>
          <w:tab w:val="left" w:pos="459"/>
          <w:tab w:val="left" w:pos="1134"/>
          <w:tab w:val="left" w:pos="1338"/>
        </w:tabs>
        <w:suppressAutoHyphens/>
        <w:spacing w:after="120"/>
        <w:ind w:left="142" w:right="155"/>
        <w:jc w:val="center"/>
        <w:rPr>
          <w:b/>
          <w:color w:val="C0504D"/>
        </w:rPr>
      </w:pP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период времени работы на рынке (он должен быть минимум 5 лет, оптимально не меньше 10 лет)</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количество вкладчиков и его соотношение с объемами привлеченных фондом денежных средств</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rsidRPr="00FF1270">
        <w:t>размер собственного</w:t>
      </w:r>
      <w:r>
        <w:t xml:space="preserve"> имущества (чем больше, тем лучше)</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состав учредителей и совета фонда (в учредителях фонда должны быть авторитетные лица – организации, корпорации, государственные структуры)</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исполнение обязательств (насколько пунктуально и в полном объеме выплачивается пенсия сегодняшним пенсионерам-клиентам фонда)</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доходность инвестиций (по сравнению со среднерыночной, и по сравнению с Пенсионным фондом России и ставкой рефинансирования ЦБ РФ, а также по сравнению с уровнем инфляции)</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lastRenderedPageBreak/>
        <w:t xml:space="preserve">местонахождение в рейтингах ведущих рейтинговых агентств (существуют рейтинги фондов, ранжированные по годовой доходности, выбираемый фонд не должен быть в числе </w:t>
      </w:r>
      <w:proofErr w:type="spellStart"/>
      <w:r>
        <w:t>низкорейтинговых</w:t>
      </w:r>
      <w:proofErr w:type="spellEnd"/>
      <w:r>
        <w:t xml:space="preserve"> фондов, желательно, чтобы выбираемый </w:t>
      </w:r>
      <w:proofErr w:type="gramStart"/>
      <w:r>
        <w:t>фонд</w:t>
      </w:r>
      <w:proofErr w:type="gramEnd"/>
      <w:r>
        <w:t xml:space="preserve"> по мнению разных рейтинговых агентств имел сопоставимый рейтинг)</w:t>
      </w:r>
    </w:p>
    <w:p w:rsidR="00B9165B" w:rsidRDefault="00B9165B" w:rsidP="00B9165B">
      <w:pPr>
        <w:numPr>
          <w:ilvl w:val="0"/>
          <w:numId w:val="4"/>
        </w:numPr>
        <w:tabs>
          <w:tab w:val="left" w:pos="-250"/>
          <w:tab w:val="left" w:pos="459"/>
          <w:tab w:val="left" w:pos="1134"/>
          <w:tab w:val="left" w:pos="1338"/>
        </w:tabs>
        <w:suppressAutoHyphens/>
        <w:spacing w:after="120"/>
        <w:ind w:left="426" w:right="155"/>
        <w:jc w:val="both"/>
      </w:pPr>
      <w:r>
        <w:t>конкретные условия пенсионного договора, предлагаемого фондом (есть ли возможность получения выкупной суммы – возврат части внесенных лицом денег при досрочном расторжении им договора, размер обещанного инвестиционного дохода, уровень комиссионных и иных затрат, наличие сети аккредитованных представителей)</w:t>
      </w:r>
    </w:p>
    <w:p w:rsidR="00646674" w:rsidRDefault="00646674" w:rsidP="008A666A">
      <w:pPr>
        <w:tabs>
          <w:tab w:val="left" w:pos="-250"/>
          <w:tab w:val="left" w:pos="459"/>
          <w:tab w:val="left" w:pos="1134"/>
          <w:tab w:val="left" w:pos="1338"/>
        </w:tabs>
        <w:suppressAutoHyphens/>
        <w:spacing w:after="120"/>
        <w:ind w:left="-142" w:right="-25"/>
        <w:jc w:val="center"/>
        <w:rPr>
          <w:b/>
          <w:color w:val="1F497D"/>
          <w:lang w:val="en-US"/>
        </w:rPr>
      </w:pPr>
    </w:p>
    <w:p w:rsidR="008A666A" w:rsidRPr="00915CC5" w:rsidRDefault="008A666A" w:rsidP="008A666A">
      <w:pPr>
        <w:tabs>
          <w:tab w:val="left" w:pos="-250"/>
          <w:tab w:val="left" w:pos="459"/>
          <w:tab w:val="left" w:pos="1134"/>
          <w:tab w:val="left" w:pos="1338"/>
        </w:tabs>
        <w:suppressAutoHyphens/>
        <w:spacing w:after="120"/>
        <w:ind w:left="-142" w:right="-25"/>
        <w:jc w:val="center"/>
        <w:rPr>
          <w:b/>
          <w:color w:val="1F497D"/>
        </w:rPr>
      </w:pPr>
      <w:r w:rsidRPr="00915CC5">
        <w:rPr>
          <w:b/>
          <w:color w:val="1F497D"/>
        </w:rPr>
        <w:t>ПО ВСЕМ ВОРОСАМ ОБРАЩАЙТЕСЬ В ОТДЕЛЕНИЕ ПРФ ПО ВОЛГОГРАДСКОЙ ОБЛАСТИ</w:t>
      </w:r>
    </w:p>
    <w:p w:rsidR="008A666A" w:rsidRDefault="008A666A" w:rsidP="008A666A">
      <w:pPr>
        <w:pStyle w:val="a6"/>
        <w:spacing w:before="0" w:beforeAutospacing="0" w:after="0" w:afterAutospacing="0"/>
        <w:jc w:val="both"/>
        <w:rPr>
          <w:rStyle w:val="a7"/>
        </w:rPr>
      </w:pPr>
    </w:p>
    <w:p w:rsidR="008A666A" w:rsidRDefault="008A666A" w:rsidP="008A666A">
      <w:pPr>
        <w:pStyle w:val="a6"/>
        <w:spacing w:before="0" w:beforeAutospacing="0" w:after="0" w:afterAutospacing="0"/>
        <w:jc w:val="center"/>
      </w:pPr>
      <w:r w:rsidRPr="00FF1270">
        <w:rPr>
          <w:rStyle w:val="a7"/>
        </w:rPr>
        <w:t>Адрес:</w:t>
      </w:r>
      <w:r w:rsidRPr="00FF1270">
        <w:t xml:space="preserve"> 400001, г. Волгоград,</w:t>
      </w:r>
    </w:p>
    <w:p w:rsidR="008A666A" w:rsidRDefault="008A666A" w:rsidP="008A666A">
      <w:pPr>
        <w:pStyle w:val="a6"/>
        <w:spacing w:before="0" w:beforeAutospacing="0" w:after="0" w:afterAutospacing="0"/>
        <w:jc w:val="center"/>
      </w:pPr>
      <w:r w:rsidRPr="00FF1270">
        <w:t>Ворошиловский район,</w:t>
      </w:r>
    </w:p>
    <w:p w:rsidR="008A666A" w:rsidRPr="00FF1270" w:rsidRDefault="008A666A" w:rsidP="008A666A">
      <w:pPr>
        <w:pStyle w:val="a6"/>
        <w:spacing w:before="0" w:beforeAutospacing="0" w:after="0" w:afterAutospacing="0"/>
        <w:jc w:val="center"/>
      </w:pPr>
      <w:r w:rsidRPr="00FF1270">
        <w:t>ул. Рабоче-Крестьянская, 16</w:t>
      </w:r>
    </w:p>
    <w:p w:rsidR="008A666A" w:rsidRPr="00FF1270" w:rsidRDefault="008A666A" w:rsidP="008A666A">
      <w:pPr>
        <w:pStyle w:val="a6"/>
        <w:spacing w:before="0" w:beforeAutospacing="0" w:after="0" w:afterAutospacing="0"/>
        <w:jc w:val="center"/>
      </w:pPr>
      <w:r w:rsidRPr="00FF1270">
        <w:rPr>
          <w:rStyle w:val="a7"/>
        </w:rPr>
        <w:t>Электронный адрес:</w:t>
      </w:r>
      <w:r w:rsidRPr="00FF1270">
        <w:t xml:space="preserve"> </w:t>
      </w:r>
      <w:hyperlink r:id="rId8" w:history="1">
        <w:r w:rsidRPr="00FF1270">
          <w:rPr>
            <w:rStyle w:val="a5"/>
          </w:rPr>
          <w:t>opfr@044.pfr.ru</w:t>
        </w:r>
      </w:hyperlink>
    </w:p>
    <w:p w:rsidR="008A666A" w:rsidRPr="00FF1270" w:rsidRDefault="008A666A" w:rsidP="008A666A">
      <w:pPr>
        <w:tabs>
          <w:tab w:val="left" w:pos="-250"/>
          <w:tab w:val="left" w:pos="459"/>
          <w:tab w:val="left" w:pos="1134"/>
          <w:tab w:val="left" w:pos="1338"/>
        </w:tabs>
        <w:suppressAutoHyphens/>
        <w:ind w:right="155"/>
        <w:jc w:val="center"/>
      </w:pPr>
      <w:r w:rsidRPr="00FF1270">
        <w:rPr>
          <w:rStyle w:val="a7"/>
        </w:rPr>
        <w:t>Телефон «горячей линии»:</w:t>
      </w:r>
    </w:p>
    <w:p w:rsidR="008A666A" w:rsidRPr="00FF1270" w:rsidRDefault="008A666A" w:rsidP="008A666A">
      <w:pPr>
        <w:tabs>
          <w:tab w:val="left" w:pos="-250"/>
          <w:tab w:val="left" w:pos="459"/>
          <w:tab w:val="left" w:pos="1134"/>
          <w:tab w:val="left" w:pos="1338"/>
        </w:tabs>
        <w:suppressAutoHyphens/>
        <w:ind w:right="155"/>
        <w:jc w:val="center"/>
      </w:pPr>
      <w:r w:rsidRPr="00FF1270">
        <w:t>(8442) 24-93-77, 24-93-66</w:t>
      </w:r>
    </w:p>
    <w:p w:rsidR="008A666A" w:rsidRPr="00FF1270" w:rsidRDefault="008A666A" w:rsidP="008A666A">
      <w:pPr>
        <w:pStyle w:val="a6"/>
        <w:spacing w:before="0" w:beforeAutospacing="0" w:after="0" w:afterAutospacing="0"/>
        <w:jc w:val="center"/>
      </w:pPr>
      <w:r w:rsidRPr="00FF1270">
        <w:rPr>
          <w:rStyle w:val="a7"/>
        </w:rPr>
        <w:t>График приема граждан Отделения</w:t>
      </w:r>
    </w:p>
    <w:p w:rsidR="008A666A" w:rsidRPr="00FF1270" w:rsidRDefault="008A666A" w:rsidP="008A666A">
      <w:pPr>
        <w:pStyle w:val="a6"/>
        <w:spacing w:before="0" w:beforeAutospacing="0" w:after="0" w:afterAutospacing="0"/>
        <w:jc w:val="center"/>
      </w:pPr>
      <w:r w:rsidRPr="00FF1270">
        <w:t>Понедельник - четверг с 8:30 до 17:30</w:t>
      </w:r>
    </w:p>
    <w:p w:rsidR="008A666A" w:rsidRPr="00FF1270" w:rsidRDefault="008A666A" w:rsidP="008A666A">
      <w:pPr>
        <w:pStyle w:val="a6"/>
        <w:spacing w:before="0" w:beforeAutospacing="0" w:after="0" w:afterAutospacing="0"/>
        <w:jc w:val="center"/>
      </w:pPr>
      <w:r w:rsidRPr="00FF1270">
        <w:t>Пятница с 8:30 до 16:30</w:t>
      </w:r>
    </w:p>
    <w:p w:rsidR="008A666A" w:rsidRPr="00FF1270" w:rsidRDefault="008A666A" w:rsidP="008A666A">
      <w:pPr>
        <w:pStyle w:val="a6"/>
        <w:spacing w:before="0" w:beforeAutospacing="0" w:after="0" w:afterAutospacing="0"/>
        <w:jc w:val="center"/>
      </w:pPr>
      <w:r w:rsidRPr="00FF1270">
        <w:t>Суббота, воскресенье – выходные дни</w:t>
      </w:r>
    </w:p>
    <w:p w:rsidR="008A666A" w:rsidRPr="00FF1270" w:rsidRDefault="008A666A" w:rsidP="008A666A">
      <w:pPr>
        <w:tabs>
          <w:tab w:val="left" w:pos="-250"/>
          <w:tab w:val="left" w:pos="459"/>
          <w:tab w:val="left" w:pos="1134"/>
          <w:tab w:val="left" w:pos="1338"/>
        </w:tabs>
        <w:suppressAutoHyphens/>
        <w:spacing w:after="120"/>
        <w:ind w:right="155"/>
        <w:jc w:val="center"/>
      </w:pPr>
      <w:r w:rsidRPr="00FF1270">
        <w:rPr>
          <w:rStyle w:val="a7"/>
        </w:rPr>
        <w:t xml:space="preserve">Сайт </w:t>
      </w:r>
      <w:r w:rsidRPr="00FF1270">
        <w:t>http://www.pfrf.ru/ot_volgrad/all_pens/</w:t>
      </w:r>
    </w:p>
    <w:p w:rsidR="008A666A" w:rsidRPr="008A666A" w:rsidRDefault="008A666A"/>
    <w:p w:rsidR="008A666A" w:rsidRPr="008A666A" w:rsidRDefault="008A666A"/>
    <w:p w:rsidR="008A666A" w:rsidRPr="00D45439" w:rsidRDefault="008A666A" w:rsidP="008A666A">
      <w:pPr>
        <w:widowControl w:val="0"/>
        <w:spacing w:after="120"/>
        <w:ind w:left="142" w:right="155" w:firstLine="142"/>
        <w:jc w:val="center"/>
        <w:rPr>
          <w:caps/>
          <w:color w:val="C0504D"/>
          <w:sz w:val="44"/>
          <w:szCs w:val="44"/>
        </w:rPr>
      </w:pPr>
      <w:r w:rsidRPr="00D45439">
        <w:rPr>
          <w:caps/>
          <w:color w:val="C0504D"/>
          <w:sz w:val="44"/>
          <w:szCs w:val="44"/>
        </w:rPr>
        <w:t>ПОЗ</w:t>
      </w:r>
      <w:r w:rsidRPr="0054111F">
        <w:rPr>
          <w:caps/>
          <w:color w:val="C0504D"/>
          <w:sz w:val="44"/>
          <w:szCs w:val="44"/>
        </w:rPr>
        <w:t>АБОТЬТЕС</w:t>
      </w:r>
      <w:r>
        <w:rPr>
          <w:caps/>
          <w:color w:val="C0504D"/>
          <w:sz w:val="44"/>
          <w:szCs w:val="44"/>
        </w:rPr>
        <w:t>Ь</w:t>
      </w:r>
      <w:r w:rsidRPr="00D45439">
        <w:rPr>
          <w:caps/>
          <w:color w:val="C0504D"/>
          <w:sz w:val="44"/>
          <w:szCs w:val="44"/>
        </w:rPr>
        <w:t xml:space="preserve"> О </w:t>
      </w:r>
      <w:r>
        <w:rPr>
          <w:caps/>
          <w:color w:val="C0504D"/>
          <w:sz w:val="44"/>
          <w:szCs w:val="44"/>
        </w:rPr>
        <w:t xml:space="preserve">БУДУЩЕЙ ПЕНСИИ </w:t>
      </w:r>
      <w:r w:rsidRPr="00D45439">
        <w:rPr>
          <w:caps/>
          <w:color w:val="C0504D"/>
          <w:sz w:val="44"/>
          <w:szCs w:val="44"/>
        </w:rPr>
        <w:t>УЖЕ СЕЙЧАС!</w:t>
      </w:r>
    </w:p>
    <w:p w:rsidR="00646674" w:rsidRDefault="00646674">
      <w:pPr>
        <w:sectPr w:rsidR="00646674" w:rsidSect="00646674">
          <w:pgSz w:w="11906" w:h="16838"/>
          <w:pgMar w:top="851" w:right="851" w:bottom="851" w:left="851" w:header="709" w:footer="709" w:gutter="0"/>
          <w:cols w:space="708"/>
          <w:docGrid w:linePitch="360"/>
        </w:sectPr>
      </w:pPr>
    </w:p>
    <w:p w:rsidR="003051F9" w:rsidRPr="00A708A1" w:rsidRDefault="003051F9" w:rsidP="003051F9">
      <w:pPr>
        <w:spacing w:after="60" w:line="360" w:lineRule="auto"/>
        <w:ind w:firstLine="720"/>
        <w:jc w:val="right"/>
        <w:rPr>
          <w:b/>
          <w:sz w:val="28"/>
          <w:szCs w:val="28"/>
        </w:rPr>
      </w:pPr>
      <w:r w:rsidRPr="00A708A1">
        <w:rPr>
          <w:b/>
          <w:sz w:val="28"/>
          <w:szCs w:val="28"/>
        </w:rPr>
        <w:lastRenderedPageBreak/>
        <w:t>Приложение</w:t>
      </w:r>
      <w:r w:rsidRPr="00E11617">
        <w:rPr>
          <w:b/>
          <w:sz w:val="28"/>
          <w:szCs w:val="28"/>
        </w:rPr>
        <w:t xml:space="preserve"> 1.</w:t>
      </w:r>
    </w:p>
    <w:p w:rsidR="003051F9" w:rsidRPr="00E11617" w:rsidRDefault="003051F9" w:rsidP="003051F9">
      <w:pPr>
        <w:spacing w:after="60" w:line="360" w:lineRule="auto"/>
        <w:ind w:firstLine="720"/>
        <w:jc w:val="center"/>
        <w:rPr>
          <w:b/>
          <w:sz w:val="28"/>
          <w:szCs w:val="28"/>
        </w:rPr>
      </w:pPr>
      <w:r w:rsidRPr="00E11617">
        <w:rPr>
          <w:b/>
          <w:sz w:val="28"/>
          <w:szCs w:val="28"/>
        </w:rPr>
        <w:t>Виды пенсий в РФ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3543"/>
        <w:gridCol w:w="9073"/>
      </w:tblGrid>
      <w:tr w:rsidR="003051F9" w:rsidRPr="00E11617" w:rsidTr="000F69AB">
        <w:tc>
          <w:tcPr>
            <w:tcW w:w="1384" w:type="dxa"/>
            <w:shd w:val="clear" w:color="auto" w:fill="auto"/>
          </w:tcPr>
          <w:p w:rsidR="003051F9" w:rsidRPr="00E11617" w:rsidRDefault="003051F9" w:rsidP="000F69AB">
            <w:pPr>
              <w:jc w:val="center"/>
              <w:rPr>
                <w:b/>
              </w:rPr>
            </w:pPr>
            <w:r w:rsidRPr="00E11617">
              <w:rPr>
                <w:b/>
              </w:rPr>
              <w:t>Название системы</w:t>
            </w:r>
          </w:p>
        </w:tc>
        <w:tc>
          <w:tcPr>
            <w:tcW w:w="4252" w:type="dxa"/>
            <w:gridSpan w:val="2"/>
            <w:shd w:val="clear" w:color="auto" w:fill="auto"/>
          </w:tcPr>
          <w:p w:rsidR="003051F9" w:rsidRPr="00E11617" w:rsidRDefault="003051F9" w:rsidP="000F69AB">
            <w:pPr>
              <w:jc w:val="center"/>
              <w:rPr>
                <w:b/>
              </w:rPr>
            </w:pPr>
            <w:r w:rsidRPr="00E11617">
              <w:rPr>
                <w:b/>
              </w:rPr>
              <w:t>Виды пенсий</w:t>
            </w:r>
          </w:p>
        </w:tc>
        <w:tc>
          <w:tcPr>
            <w:tcW w:w="9073" w:type="dxa"/>
            <w:shd w:val="clear" w:color="auto" w:fill="auto"/>
          </w:tcPr>
          <w:p w:rsidR="003051F9" w:rsidRPr="00E11617" w:rsidRDefault="003051F9" w:rsidP="000F69AB">
            <w:pPr>
              <w:jc w:val="center"/>
              <w:rPr>
                <w:b/>
              </w:rPr>
            </w:pPr>
            <w:r w:rsidRPr="00E11617">
              <w:rPr>
                <w:b/>
              </w:rPr>
              <w:t>Право на пенсию имеют</w:t>
            </w:r>
          </w:p>
        </w:tc>
      </w:tr>
      <w:tr w:rsidR="003051F9" w:rsidRPr="00E11617" w:rsidTr="000F69AB">
        <w:tc>
          <w:tcPr>
            <w:tcW w:w="1384" w:type="dxa"/>
            <w:vMerge w:val="restart"/>
            <w:shd w:val="clear" w:color="auto" w:fill="auto"/>
            <w:textDirection w:val="btLr"/>
          </w:tcPr>
          <w:p w:rsidR="003051F9" w:rsidRPr="00E11617" w:rsidRDefault="003051F9" w:rsidP="000F69AB">
            <w:pPr>
              <w:ind w:left="113" w:right="113"/>
              <w:jc w:val="center"/>
              <w:rPr>
                <w:b/>
              </w:rPr>
            </w:pPr>
            <w:r w:rsidRPr="00E11617">
              <w:rPr>
                <w:b/>
              </w:rPr>
              <w:t>Система государственного пенсионного страхования</w:t>
            </w:r>
          </w:p>
        </w:tc>
        <w:tc>
          <w:tcPr>
            <w:tcW w:w="709" w:type="dxa"/>
            <w:vMerge w:val="restart"/>
            <w:shd w:val="clear" w:color="auto" w:fill="auto"/>
            <w:textDirection w:val="btLr"/>
            <w:vAlign w:val="center"/>
          </w:tcPr>
          <w:p w:rsidR="003051F9" w:rsidRPr="00E11617" w:rsidRDefault="003051F9" w:rsidP="000F69AB">
            <w:pPr>
              <w:ind w:left="113" w:right="113"/>
              <w:jc w:val="center"/>
              <w:rPr>
                <w:b/>
              </w:rPr>
            </w:pPr>
            <w:r w:rsidRPr="00E11617">
              <w:rPr>
                <w:b/>
              </w:rPr>
              <w:t>Трудовые пенсии</w:t>
            </w:r>
          </w:p>
        </w:tc>
        <w:tc>
          <w:tcPr>
            <w:tcW w:w="3543" w:type="dxa"/>
            <w:shd w:val="clear" w:color="auto" w:fill="auto"/>
          </w:tcPr>
          <w:p w:rsidR="003051F9" w:rsidRPr="00E11617" w:rsidRDefault="003051F9" w:rsidP="000F69AB">
            <w:pPr>
              <w:jc w:val="both"/>
            </w:pPr>
            <w:r w:rsidRPr="00E11617">
              <w:t>Трудовая пенсия по старости</w:t>
            </w:r>
          </w:p>
        </w:tc>
        <w:tc>
          <w:tcPr>
            <w:tcW w:w="9073" w:type="dxa"/>
            <w:shd w:val="clear" w:color="auto" w:fill="auto"/>
          </w:tcPr>
          <w:p w:rsidR="003051F9" w:rsidRPr="00E11617" w:rsidRDefault="003051F9" w:rsidP="000F69AB">
            <w:pPr>
              <w:jc w:val="both"/>
            </w:pPr>
            <w:r w:rsidRPr="00E11617">
              <w:t>граждане, достигшие 55 летнего возраста женщины и 60-летнего возраста мужчины, имеющие необходимый трудовой стаж, в целях компенсации им заработной платы или иного дохода, которые они получали в период трудовой деятельности</w:t>
            </w:r>
          </w:p>
        </w:tc>
      </w:tr>
      <w:tr w:rsidR="003051F9" w:rsidRPr="00E11617" w:rsidTr="000F69AB">
        <w:tc>
          <w:tcPr>
            <w:tcW w:w="1384" w:type="dxa"/>
            <w:vMerge/>
            <w:shd w:val="clear" w:color="auto" w:fill="auto"/>
            <w:textDirection w:val="btLr"/>
          </w:tcPr>
          <w:p w:rsidR="003051F9" w:rsidRPr="00E11617" w:rsidRDefault="003051F9" w:rsidP="000F69AB">
            <w:pPr>
              <w:ind w:left="113" w:right="113"/>
              <w:jc w:val="center"/>
              <w:rPr>
                <w:b/>
              </w:rPr>
            </w:pPr>
          </w:p>
        </w:tc>
        <w:tc>
          <w:tcPr>
            <w:tcW w:w="709" w:type="dxa"/>
            <w:vMerge/>
            <w:shd w:val="clear" w:color="auto" w:fill="auto"/>
            <w:textDirection w:val="btLr"/>
            <w:vAlign w:val="center"/>
          </w:tcPr>
          <w:p w:rsidR="003051F9" w:rsidRPr="00E11617" w:rsidRDefault="003051F9" w:rsidP="000F69AB">
            <w:pPr>
              <w:ind w:left="113" w:right="113"/>
              <w:jc w:val="center"/>
              <w:rPr>
                <w:b/>
              </w:rPr>
            </w:pPr>
          </w:p>
        </w:tc>
        <w:tc>
          <w:tcPr>
            <w:tcW w:w="3543" w:type="dxa"/>
            <w:shd w:val="clear" w:color="auto" w:fill="auto"/>
          </w:tcPr>
          <w:p w:rsidR="003051F9" w:rsidRPr="00E11617" w:rsidRDefault="003051F9" w:rsidP="000F69AB">
            <w:pPr>
              <w:jc w:val="both"/>
            </w:pPr>
            <w:r w:rsidRPr="00E11617">
              <w:t>Трудовая пенсия по инвалидности</w:t>
            </w:r>
          </w:p>
        </w:tc>
        <w:tc>
          <w:tcPr>
            <w:tcW w:w="9073" w:type="dxa"/>
            <w:shd w:val="clear" w:color="auto" w:fill="auto"/>
          </w:tcPr>
          <w:p w:rsidR="003051F9" w:rsidRPr="00E11617" w:rsidRDefault="003051F9" w:rsidP="000F69AB">
            <w:pPr>
              <w:jc w:val="both"/>
            </w:pPr>
            <w:r w:rsidRPr="00E11617">
              <w:t>граждане, признанные в установленном порядке инвалидами I, II, III группы</w:t>
            </w:r>
          </w:p>
        </w:tc>
      </w:tr>
      <w:tr w:rsidR="003051F9" w:rsidRPr="00E11617" w:rsidTr="000F69AB">
        <w:tc>
          <w:tcPr>
            <w:tcW w:w="1384" w:type="dxa"/>
            <w:vMerge/>
            <w:shd w:val="clear" w:color="auto" w:fill="auto"/>
            <w:textDirection w:val="btLr"/>
          </w:tcPr>
          <w:p w:rsidR="003051F9" w:rsidRPr="00E11617" w:rsidRDefault="003051F9" w:rsidP="000F69AB">
            <w:pPr>
              <w:ind w:left="113" w:right="113"/>
              <w:jc w:val="center"/>
              <w:rPr>
                <w:b/>
              </w:rPr>
            </w:pPr>
          </w:p>
        </w:tc>
        <w:tc>
          <w:tcPr>
            <w:tcW w:w="709" w:type="dxa"/>
            <w:vMerge/>
            <w:shd w:val="clear" w:color="auto" w:fill="auto"/>
            <w:textDirection w:val="btLr"/>
            <w:vAlign w:val="center"/>
          </w:tcPr>
          <w:p w:rsidR="003051F9" w:rsidRPr="00E11617" w:rsidRDefault="003051F9" w:rsidP="000F69AB">
            <w:pPr>
              <w:ind w:left="113" w:right="113"/>
              <w:jc w:val="center"/>
              <w:rPr>
                <w:b/>
              </w:rPr>
            </w:pPr>
          </w:p>
        </w:tc>
        <w:tc>
          <w:tcPr>
            <w:tcW w:w="3543" w:type="dxa"/>
            <w:shd w:val="clear" w:color="auto" w:fill="auto"/>
          </w:tcPr>
          <w:p w:rsidR="003051F9" w:rsidRPr="00E11617" w:rsidRDefault="003051F9" w:rsidP="000F69AB">
            <w:pPr>
              <w:jc w:val="both"/>
            </w:pPr>
            <w:r w:rsidRPr="00E11617">
              <w:t>Трудовая пенсия по случаю потери кормильца</w:t>
            </w:r>
          </w:p>
        </w:tc>
        <w:tc>
          <w:tcPr>
            <w:tcW w:w="9073" w:type="dxa"/>
            <w:shd w:val="clear" w:color="auto" w:fill="auto"/>
          </w:tcPr>
          <w:p w:rsidR="003051F9" w:rsidRPr="00E11617" w:rsidRDefault="003051F9" w:rsidP="000F69AB">
            <w:pPr>
              <w:jc w:val="both"/>
            </w:pPr>
            <w:r w:rsidRPr="00E11617">
              <w:t>нетрудоспособные члены</w:t>
            </w:r>
            <w:r w:rsidRPr="00E11617">
              <w:rPr>
                <w:vertAlign w:val="superscript"/>
              </w:rPr>
              <w:t>**</w:t>
            </w:r>
            <w:r w:rsidRPr="00E11617">
              <w:t xml:space="preserve"> семьи умершего кормильца, состоявшие на его иждивении</w:t>
            </w:r>
          </w:p>
        </w:tc>
      </w:tr>
      <w:tr w:rsidR="003051F9" w:rsidRPr="00E11617" w:rsidTr="000F69AB">
        <w:tc>
          <w:tcPr>
            <w:tcW w:w="1384" w:type="dxa"/>
            <w:vMerge w:val="restart"/>
            <w:shd w:val="clear" w:color="auto" w:fill="auto"/>
            <w:textDirection w:val="btLr"/>
          </w:tcPr>
          <w:p w:rsidR="003051F9" w:rsidRPr="00E11617" w:rsidRDefault="003051F9" w:rsidP="000F69AB">
            <w:pPr>
              <w:ind w:left="113" w:right="113"/>
              <w:jc w:val="center"/>
              <w:rPr>
                <w:b/>
              </w:rPr>
            </w:pPr>
            <w:r w:rsidRPr="00E11617">
              <w:rPr>
                <w:b/>
              </w:rPr>
              <w:t>Система государственного пенсионного обеспечения</w:t>
            </w:r>
          </w:p>
        </w:tc>
        <w:tc>
          <w:tcPr>
            <w:tcW w:w="709" w:type="dxa"/>
            <w:vMerge w:val="restart"/>
            <w:shd w:val="clear" w:color="auto" w:fill="auto"/>
            <w:textDirection w:val="btLr"/>
            <w:vAlign w:val="center"/>
          </w:tcPr>
          <w:p w:rsidR="003051F9" w:rsidRPr="00E11617" w:rsidRDefault="003051F9" w:rsidP="000F69AB">
            <w:pPr>
              <w:ind w:left="113" w:right="113"/>
              <w:jc w:val="center"/>
              <w:rPr>
                <w:b/>
              </w:rPr>
            </w:pPr>
            <w:r w:rsidRPr="00E11617">
              <w:rPr>
                <w:b/>
              </w:rPr>
              <w:t>Государственные пенсии</w:t>
            </w:r>
          </w:p>
        </w:tc>
        <w:tc>
          <w:tcPr>
            <w:tcW w:w="3543" w:type="dxa"/>
            <w:shd w:val="clear" w:color="auto" w:fill="auto"/>
          </w:tcPr>
          <w:p w:rsidR="003051F9" w:rsidRPr="00E11617" w:rsidRDefault="003758E4" w:rsidP="000F69AB">
            <w:pPr>
              <w:jc w:val="both"/>
              <w:rPr>
                <w:bCs/>
              </w:rPr>
            </w:pPr>
            <w:hyperlink r:id="rId9" w:history="1">
              <w:r w:rsidR="003051F9" w:rsidRPr="00E11617">
                <w:rPr>
                  <w:bCs/>
                </w:rPr>
                <w:t>Пенсия за выслугу лет</w:t>
              </w:r>
            </w:hyperlink>
          </w:p>
        </w:tc>
        <w:tc>
          <w:tcPr>
            <w:tcW w:w="9073" w:type="dxa"/>
            <w:shd w:val="clear" w:color="auto" w:fill="auto"/>
          </w:tcPr>
          <w:p w:rsidR="003051F9" w:rsidRPr="00E11617" w:rsidRDefault="003051F9" w:rsidP="003051F9">
            <w:pPr>
              <w:numPr>
                <w:ilvl w:val="0"/>
                <w:numId w:val="9"/>
              </w:numPr>
              <w:tabs>
                <w:tab w:val="left" w:pos="275"/>
              </w:tabs>
              <w:ind w:left="0" w:firstLine="0"/>
              <w:contextualSpacing/>
              <w:jc w:val="both"/>
            </w:pPr>
            <w:r w:rsidRPr="00E11617">
              <w:t>федеральные государственные служащие;</w:t>
            </w:r>
          </w:p>
          <w:p w:rsidR="003051F9" w:rsidRPr="00E11617" w:rsidRDefault="003051F9" w:rsidP="003051F9">
            <w:pPr>
              <w:numPr>
                <w:ilvl w:val="0"/>
                <w:numId w:val="9"/>
              </w:numPr>
              <w:tabs>
                <w:tab w:val="left" w:pos="275"/>
              </w:tabs>
              <w:ind w:left="0" w:firstLine="0"/>
              <w:contextualSpacing/>
              <w:jc w:val="both"/>
            </w:pPr>
            <w:r w:rsidRPr="00E11617">
              <w:t>военнослужащие (за исключением граждан, проходивших военную службу по призыву в качестве солдат, матросов, сержантов и старшин);</w:t>
            </w:r>
          </w:p>
          <w:p w:rsidR="003051F9" w:rsidRPr="00E11617" w:rsidRDefault="003051F9" w:rsidP="003051F9">
            <w:pPr>
              <w:numPr>
                <w:ilvl w:val="0"/>
                <w:numId w:val="9"/>
              </w:numPr>
              <w:tabs>
                <w:tab w:val="left" w:pos="275"/>
              </w:tabs>
              <w:ind w:left="0" w:firstLine="0"/>
              <w:contextualSpacing/>
              <w:jc w:val="both"/>
            </w:pPr>
            <w:r w:rsidRPr="00E11617">
              <w:t>космонавты;</w:t>
            </w:r>
          </w:p>
          <w:p w:rsidR="003051F9" w:rsidRPr="00E11617" w:rsidRDefault="003051F9" w:rsidP="003051F9">
            <w:pPr>
              <w:numPr>
                <w:ilvl w:val="0"/>
                <w:numId w:val="9"/>
              </w:numPr>
              <w:tabs>
                <w:tab w:val="left" w:pos="275"/>
              </w:tabs>
              <w:ind w:left="0" w:firstLine="0"/>
              <w:contextualSpacing/>
              <w:jc w:val="both"/>
              <w:rPr>
                <w:bCs/>
              </w:rPr>
            </w:pPr>
            <w:r w:rsidRPr="00E11617">
              <w:t>работники летно-испытательного состава.</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extDirection w:val="btLr"/>
            <w:vAlign w:val="center"/>
          </w:tcPr>
          <w:p w:rsidR="003051F9" w:rsidRPr="00E11617" w:rsidRDefault="003051F9" w:rsidP="000F69AB">
            <w:pPr>
              <w:ind w:left="113" w:right="113"/>
              <w:jc w:val="center"/>
              <w:rPr>
                <w:b/>
              </w:rPr>
            </w:pPr>
          </w:p>
        </w:tc>
        <w:tc>
          <w:tcPr>
            <w:tcW w:w="3543" w:type="dxa"/>
            <w:shd w:val="clear" w:color="auto" w:fill="auto"/>
          </w:tcPr>
          <w:p w:rsidR="003051F9" w:rsidRPr="00E11617" w:rsidRDefault="003051F9" w:rsidP="000F69AB">
            <w:pPr>
              <w:jc w:val="both"/>
              <w:rPr>
                <w:bCs/>
              </w:rPr>
            </w:pPr>
            <w:r w:rsidRPr="00E11617">
              <w:rPr>
                <w:bCs/>
              </w:rPr>
              <w:t>Пенсия по старости</w:t>
            </w:r>
          </w:p>
        </w:tc>
        <w:tc>
          <w:tcPr>
            <w:tcW w:w="9073" w:type="dxa"/>
            <w:shd w:val="clear" w:color="auto" w:fill="auto"/>
          </w:tcPr>
          <w:p w:rsidR="003051F9" w:rsidRPr="00E11617" w:rsidRDefault="003051F9" w:rsidP="000F69AB">
            <w:pPr>
              <w:jc w:val="both"/>
              <w:rPr>
                <w:bCs/>
              </w:rPr>
            </w:pPr>
            <w:r w:rsidRPr="00E11617">
              <w:t>граждане, пострадавшие в результате радиационных или техногенных катастроф (факт оплачиваемой трудовой деятельности на выплату государственной пенсии по старости не влияет)</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extDirection w:val="btLr"/>
            <w:vAlign w:val="center"/>
          </w:tcPr>
          <w:p w:rsidR="003051F9" w:rsidRPr="00E11617" w:rsidRDefault="003051F9" w:rsidP="000F69AB">
            <w:pPr>
              <w:ind w:left="113" w:right="113"/>
              <w:jc w:val="center"/>
              <w:rPr>
                <w:b/>
              </w:rPr>
            </w:pPr>
          </w:p>
        </w:tc>
        <w:tc>
          <w:tcPr>
            <w:tcW w:w="3543" w:type="dxa"/>
            <w:shd w:val="clear" w:color="auto" w:fill="auto"/>
          </w:tcPr>
          <w:p w:rsidR="003051F9" w:rsidRPr="00E11617" w:rsidRDefault="003051F9" w:rsidP="000F69AB">
            <w:pPr>
              <w:jc w:val="both"/>
              <w:rPr>
                <w:bCs/>
              </w:rPr>
            </w:pPr>
            <w:r w:rsidRPr="00E11617">
              <w:rPr>
                <w:bCs/>
              </w:rPr>
              <w:t>Пенсия по инвалидности</w:t>
            </w:r>
          </w:p>
        </w:tc>
        <w:tc>
          <w:tcPr>
            <w:tcW w:w="9073" w:type="dxa"/>
            <w:shd w:val="clear" w:color="auto" w:fill="auto"/>
          </w:tcPr>
          <w:p w:rsidR="003051F9" w:rsidRPr="00E11617" w:rsidRDefault="003051F9" w:rsidP="003051F9">
            <w:pPr>
              <w:numPr>
                <w:ilvl w:val="0"/>
                <w:numId w:val="9"/>
              </w:numPr>
              <w:tabs>
                <w:tab w:val="left" w:pos="275"/>
              </w:tabs>
              <w:ind w:left="0" w:hanging="20"/>
              <w:contextualSpacing/>
              <w:jc w:val="both"/>
            </w:pPr>
            <w:r w:rsidRPr="00E11617">
              <w:t>военнослужащие;</w:t>
            </w:r>
          </w:p>
          <w:p w:rsidR="003051F9" w:rsidRPr="00E11617" w:rsidRDefault="003051F9" w:rsidP="003051F9">
            <w:pPr>
              <w:numPr>
                <w:ilvl w:val="0"/>
                <w:numId w:val="9"/>
              </w:numPr>
              <w:tabs>
                <w:tab w:val="left" w:pos="275"/>
              </w:tabs>
              <w:ind w:left="0" w:hanging="20"/>
              <w:contextualSpacing/>
              <w:jc w:val="both"/>
            </w:pPr>
            <w:r w:rsidRPr="00E11617">
              <w:t>граждане, пострадавшие в результате радиационных или техногенных катастроф;</w:t>
            </w:r>
          </w:p>
          <w:p w:rsidR="003051F9" w:rsidRPr="00E11617" w:rsidRDefault="003051F9" w:rsidP="003051F9">
            <w:pPr>
              <w:numPr>
                <w:ilvl w:val="0"/>
                <w:numId w:val="9"/>
              </w:numPr>
              <w:tabs>
                <w:tab w:val="left" w:pos="275"/>
              </w:tabs>
              <w:ind w:left="0" w:hanging="20"/>
              <w:contextualSpacing/>
              <w:jc w:val="both"/>
            </w:pPr>
            <w:r w:rsidRPr="00E11617">
              <w:t>участники Великой Отечественной войны;</w:t>
            </w:r>
          </w:p>
          <w:p w:rsidR="003051F9" w:rsidRPr="00E11617" w:rsidRDefault="003051F9" w:rsidP="003051F9">
            <w:pPr>
              <w:numPr>
                <w:ilvl w:val="0"/>
                <w:numId w:val="9"/>
              </w:numPr>
              <w:tabs>
                <w:tab w:val="left" w:pos="275"/>
              </w:tabs>
              <w:ind w:left="0" w:hanging="20"/>
              <w:contextualSpacing/>
              <w:jc w:val="both"/>
            </w:pPr>
            <w:r w:rsidRPr="00E11617">
              <w:t>граждане, награжденные знаком "Жителю блокадного Ленинграда";</w:t>
            </w:r>
          </w:p>
          <w:p w:rsidR="003051F9" w:rsidRPr="00E11617" w:rsidRDefault="003051F9" w:rsidP="003051F9">
            <w:pPr>
              <w:numPr>
                <w:ilvl w:val="0"/>
                <w:numId w:val="9"/>
              </w:numPr>
              <w:tabs>
                <w:tab w:val="left" w:pos="275"/>
              </w:tabs>
              <w:ind w:left="0" w:hanging="20"/>
              <w:contextualSpacing/>
              <w:jc w:val="both"/>
            </w:pPr>
            <w:r w:rsidRPr="00E11617">
              <w:t>космонавты.</w:t>
            </w:r>
          </w:p>
          <w:p w:rsidR="003051F9" w:rsidRPr="00E11617" w:rsidRDefault="003051F9" w:rsidP="000F69AB">
            <w:pPr>
              <w:jc w:val="both"/>
              <w:rPr>
                <w:bCs/>
              </w:rPr>
            </w:pPr>
            <w:r w:rsidRPr="00E11617">
              <w:t>(факт оплачиваемой трудовой деятельности на выплату государственной пенсии по инвалидности не влияет)</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extDirection w:val="btLr"/>
            <w:vAlign w:val="center"/>
          </w:tcPr>
          <w:p w:rsidR="003051F9" w:rsidRPr="00E11617" w:rsidRDefault="003051F9" w:rsidP="000F69AB">
            <w:pPr>
              <w:ind w:left="113" w:right="113"/>
              <w:jc w:val="center"/>
              <w:rPr>
                <w:b/>
              </w:rPr>
            </w:pPr>
          </w:p>
        </w:tc>
        <w:tc>
          <w:tcPr>
            <w:tcW w:w="3543" w:type="dxa"/>
            <w:shd w:val="clear" w:color="auto" w:fill="auto"/>
          </w:tcPr>
          <w:p w:rsidR="003051F9" w:rsidRPr="00E11617" w:rsidRDefault="003758E4" w:rsidP="000F69AB">
            <w:pPr>
              <w:jc w:val="both"/>
              <w:rPr>
                <w:bCs/>
              </w:rPr>
            </w:pPr>
            <w:hyperlink r:id="rId10" w:history="1">
              <w:r w:rsidR="003051F9" w:rsidRPr="00E11617">
                <w:rPr>
                  <w:bCs/>
                </w:rPr>
                <w:t xml:space="preserve">Пенсия по случаю потери кормильца </w:t>
              </w:r>
            </w:hyperlink>
          </w:p>
        </w:tc>
        <w:tc>
          <w:tcPr>
            <w:tcW w:w="9073" w:type="dxa"/>
            <w:shd w:val="clear" w:color="auto" w:fill="auto"/>
          </w:tcPr>
          <w:p w:rsidR="003051F9" w:rsidRPr="00E11617" w:rsidRDefault="003051F9" w:rsidP="000F69AB">
            <w:pPr>
              <w:jc w:val="both"/>
            </w:pPr>
            <w:r w:rsidRPr="00E11617">
              <w:t xml:space="preserve">нетрудоспособные члены семей погибших (умерших): </w:t>
            </w:r>
          </w:p>
          <w:p w:rsidR="003051F9" w:rsidRPr="00E11617" w:rsidRDefault="003051F9" w:rsidP="003051F9">
            <w:pPr>
              <w:numPr>
                <w:ilvl w:val="0"/>
                <w:numId w:val="9"/>
              </w:numPr>
              <w:ind w:left="416"/>
              <w:contextualSpacing/>
              <w:jc w:val="both"/>
            </w:pPr>
            <w:r w:rsidRPr="00E11617">
              <w:t xml:space="preserve">военнослужащие; </w:t>
            </w:r>
          </w:p>
          <w:p w:rsidR="003051F9" w:rsidRPr="00E11617" w:rsidRDefault="003051F9" w:rsidP="003051F9">
            <w:pPr>
              <w:numPr>
                <w:ilvl w:val="0"/>
                <w:numId w:val="9"/>
              </w:numPr>
              <w:ind w:left="416"/>
              <w:contextualSpacing/>
              <w:jc w:val="both"/>
            </w:pPr>
            <w:r w:rsidRPr="00E11617">
              <w:t>граждане, пострадавшие в результате радиационных или техногенных катастроф;</w:t>
            </w:r>
          </w:p>
          <w:p w:rsidR="003051F9" w:rsidRPr="00E11617" w:rsidRDefault="003051F9" w:rsidP="003051F9">
            <w:pPr>
              <w:numPr>
                <w:ilvl w:val="0"/>
                <w:numId w:val="9"/>
              </w:numPr>
              <w:ind w:left="416"/>
              <w:contextualSpacing/>
              <w:jc w:val="both"/>
              <w:rPr>
                <w:bCs/>
              </w:rPr>
            </w:pPr>
            <w:r w:rsidRPr="00E11617">
              <w:t>граждане из числа космонавтов.</w:t>
            </w:r>
          </w:p>
        </w:tc>
      </w:tr>
      <w:tr w:rsidR="003051F9" w:rsidRPr="00E11617" w:rsidTr="000F69AB">
        <w:trPr>
          <w:trHeight w:val="1066"/>
        </w:trPr>
        <w:tc>
          <w:tcPr>
            <w:tcW w:w="1384" w:type="dxa"/>
            <w:vMerge/>
            <w:shd w:val="clear" w:color="auto" w:fill="auto"/>
          </w:tcPr>
          <w:p w:rsidR="003051F9" w:rsidRPr="00E11617" w:rsidRDefault="003051F9" w:rsidP="000F69AB">
            <w:pPr>
              <w:jc w:val="both"/>
            </w:pPr>
          </w:p>
        </w:tc>
        <w:tc>
          <w:tcPr>
            <w:tcW w:w="709" w:type="dxa"/>
            <w:vMerge w:val="restart"/>
            <w:shd w:val="clear" w:color="auto" w:fill="auto"/>
            <w:textDirection w:val="btLr"/>
            <w:vAlign w:val="center"/>
          </w:tcPr>
          <w:p w:rsidR="003051F9" w:rsidRPr="00E11617" w:rsidRDefault="003051F9" w:rsidP="000F69AB">
            <w:pPr>
              <w:ind w:left="113" w:right="113"/>
              <w:jc w:val="center"/>
              <w:rPr>
                <w:b/>
              </w:rPr>
            </w:pPr>
            <w:r w:rsidRPr="00E11617">
              <w:rPr>
                <w:b/>
              </w:rPr>
              <w:t>Социальные пенсии</w:t>
            </w:r>
          </w:p>
        </w:tc>
        <w:tc>
          <w:tcPr>
            <w:tcW w:w="3543" w:type="dxa"/>
            <w:shd w:val="clear" w:color="auto" w:fill="auto"/>
          </w:tcPr>
          <w:p w:rsidR="003051F9" w:rsidRPr="00E11617" w:rsidRDefault="003051F9" w:rsidP="000F69AB">
            <w:pPr>
              <w:jc w:val="both"/>
              <w:rPr>
                <w:bCs/>
              </w:rPr>
            </w:pPr>
          </w:p>
        </w:tc>
        <w:tc>
          <w:tcPr>
            <w:tcW w:w="9073" w:type="dxa"/>
            <w:shd w:val="clear" w:color="auto" w:fill="auto"/>
          </w:tcPr>
          <w:p w:rsidR="003051F9" w:rsidRPr="00E11617" w:rsidRDefault="003051F9" w:rsidP="000F69AB">
            <w:pPr>
              <w:jc w:val="both"/>
              <w:rPr>
                <w:bCs/>
              </w:rPr>
            </w:pPr>
            <w:r w:rsidRPr="00E11617">
              <w:rPr>
                <w:bCs/>
              </w:rPr>
              <w:t>Право на социальную пенсию имеют постоянно проживающие в Российской Федерации нетрудоспособные граждане</w:t>
            </w:r>
          </w:p>
          <w:p w:rsidR="003051F9" w:rsidRPr="00E11617" w:rsidRDefault="003051F9" w:rsidP="000F69AB">
            <w:pPr>
              <w:jc w:val="both"/>
              <w:rPr>
                <w:bCs/>
              </w:rPr>
            </w:pPr>
            <w:r w:rsidRPr="00E11617">
              <w:rPr>
                <w:bCs/>
              </w:rPr>
              <w:t xml:space="preserve">Факт оплачиваемой трудовой деятельности на выплату социальной пенсии не влияет, </w:t>
            </w:r>
            <w:r w:rsidRPr="00E11617">
              <w:rPr>
                <w:bCs/>
              </w:rPr>
              <w:lastRenderedPageBreak/>
              <w:t>за исключением социальной пенсии, назначенной гражданам, достигшим возраста 65 и 60 лет (соответственно мужчины и женщины).</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cPr>
          <w:p w:rsidR="003051F9" w:rsidRPr="00E11617" w:rsidRDefault="003051F9" w:rsidP="000F69AB">
            <w:pPr>
              <w:jc w:val="both"/>
            </w:pPr>
          </w:p>
        </w:tc>
        <w:tc>
          <w:tcPr>
            <w:tcW w:w="3543" w:type="dxa"/>
            <w:shd w:val="clear" w:color="auto" w:fill="auto"/>
          </w:tcPr>
          <w:p w:rsidR="003051F9" w:rsidRPr="00E11617" w:rsidRDefault="003051F9" w:rsidP="000F69AB">
            <w:pPr>
              <w:jc w:val="both"/>
              <w:rPr>
                <w:bCs/>
              </w:rPr>
            </w:pPr>
            <w:r w:rsidRPr="00E11617">
              <w:rPr>
                <w:bCs/>
              </w:rPr>
              <w:t>Социальная пенсия по старости</w:t>
            </w:r>
          </w:p>
        </w:tc>
        <w:tc>
          <w:tcPr>
            <w:tcW w:w="9073" w:type="dxa"/>
            <w:shd w:val="clear" w:color="auto" w:fill="auto"/>
          </w:tcPr>
          <w:p w:rsidR="003051F9" w:rsidRPr="00E11617" w:rsidRDefault="003051F9" w:rsidP="003051F9">
            <w:pPr>
              <w:numPr>
                <w:ilvl w:val="0"/>
                <w:numId w:val="11"/>
              </w:numPr>
              <w:tabs>
                <w:tab w:val="left" w:pos="275"/>
              </w:tabs>
              <w:ind w:hanging="20"/>
              <w:contextualSpacing/>
              <w:jc w:val="both"/>
              <w:rPr>
                <w:bCs/>
              </w:rPr>
            </w:pPr>
            <w:r w:rsidRPr="00E11617">
              <w:rPr>
                <w:bCs/>
              </w:rPr>
              <w:t xml:space="preserve">граждане из числа малочисленных народов Севера, </w:t>
            </w:r>
            <w:proofErr w:type="gramStart"/>
            <w:r w:rsidRPr="00E11617">
              <w:rPr>
                <w:bCs/>
              </w:rPr>
              <w:t>достигшим</w:t>
            </w:r>
            <w:proofErr w:type="gramEnd"/>
            <w:r w:rsidRPr="00E11617">
              <w:rPr>
                <w:bCs/>
              </w:rPr>
              <w:t xml:space="preserve"> возраста 55 и 50 лет (соответственно мужчины и женщины); </w:t>
            </w:r>
          </w:p>
          <w:p w:rsidR="003051F9" w:rsidRPr="00E11617" w:rsidRDefault="003051F9" w:rsidP="003051F9">
            <w:pPr>
              <w:numPr>
                <w:ilvl w:val="0"/>
                <w:numId w:val="11"/>
              </w:numPr>
              <w:tabs>
                <w:tab w:val="left" w:pos="275"/>
              </w:tabs>
              <w:ind w:hanging="20"/>
              <w:contextualSpacing/>
              <w:jc w:val="both"/>
              <w:rPr>
                <w:bCs/>
              </w:rPr>
            </w:pPr>
            <w:r w:rsidRPr="00E11617">
              <w:rPr>
                <w:bCs/>
              </w:rPr>
              <w:t xml:space="preserve">граждане, достигшие 65 и 60 лет (соответственно мужчины и женщины). </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cPr>
          <w:p w:rsidR="003051F9" w:rsidRPr="00E11617" w:rsidRDefault="003051F9" w:rsidP="000F69AB">
            <w:pPr>
              <w:jc w:val="both"/>
            </w:pPr>
          </w:p>
        </w:tc>
        <w:tc>
          <w:tcPr>
            <w:tcW w:w="3543" w:type="dxa"/>
            <w:shd w:val="clear" w:color="auto" w:fill="auto"/>
          </w:tcPr>
          <w:p w:rsidR="003051F9" w:rsidRPr="00E11617" w:rsidRDefault="003051F9" w:rsidP="000F69AB">
            <w:pPr>
              <w:jc w:val="both"/>
              <w:rPr>
                <w:bCs/>
              </w:rPr>
            </w:pPr>
            <w:r w:rsidRPr="00E11617">
              <w:rPr>
                <w:bCs/>
              </w:rPr>
              <w:t>Социальная пенсия по инвалидности</w:t>
            </w:r>
          </w:p>
        </w:tc>
        <w:tc>
          <w:tcPr>
            <w:tcW w:w="9073" w:type="dxa"/>
            <w:shd w:val="clear" w:color="auto" w:fill="auto"/>
          </w:tcPr>
          <w:p w:rsidR="003051F9" w:rsidRPr="00E11617" w:rsidRDefault="003051F9" w:rsidP="003051F9">
            <w:pPr>
              <w:numPr>
                <w:ilvl w:val="0"/>
                <w:numId w:val="10"/>
              </w:numPr>
              <w:tabs>
                <w:tab w:val="left" w:pos="275"/>
              </w:tabs>
              <w:ind w:hanging="20"/>
              <w:contextualSpacing/>
              <w:jc w:val="both"/>
              <w:rPr>
                <w:bCs/>
              </w:rPr>
            </w:pPr>
            <w:r w:rsidRPr="00E11617">
              <w:rPr>
                <w:bCs/>
              </w:rPr>
              <w:t xml:space="preserve">инвалиды I, II и III группы, в том числе инвалидам с детства; </w:t>
            </w:r>
          </w:p>
          <w:p w:rsidR="003051F9" w:rsidRPr="00E11617" w:rsidRDefault="003051F9" w:rsidP="003051F9">
            <w:pPr>
              <w:numPr>
                <w:ilvl w:val="0"/>
                <w:numId w:val="10"/>
              </w:numPr>
              <w:tabs>
                <w:tab w:val="left" w:pos="275"/>
              </w:tabs>
              <w:ind w:hanging="20"/>
              <w:contextualSpacing/>
              <w:jc w:val="both"/>
              <w:rPr>
                <w:bCs/>
              </w:rPr>
            </w:pPr>
            <w:r w:rsidRPr="00E11617">
              <w:rPr>
                <w:bCs/>
              </w:rPr>
              <w:t>дети-инвалиды.</w:t>
            </w:r>
          </w:p>
        </w:tc>
      </w:tr>
      <w:tr w:rsidR="003051F9" w:rsidRPr="00E11617" w:rsidTr="000F69AB">
        <w:tc>
          <w:tcPr>
            <w:tcW w:w="1384" w:type="dxa"/>
            <w:vMerge/>
            <w:shd w:val="clear" w:color="auto" w:fill="auto"/>
          </w:tcPr>
          <w:p w:rsidR="003051F9" w:rsidRPr="00E11617" w:rsidRDefault="003051F9" w:rsidP="000F69AB">
            <w:pPr>
              <w:jc w:val="both"/>
            </w:pPr>
          </w:p>
        </w:tc>
        <w:tc>
          <w:tcPr>
            <w:tcW w:w="709" w:type="dxa"/>
            <w:vMerge/>
            <w:shd w:val="clear" w:color="auto" w:fill="auto"/>
          </w:tcPr>
          <w:p w:rsidR="003051F9" w:rsidRPr="00E11617" w:rsidRDefault="003051F9" w:rsidP="000F69AB">
            <w:pPr>
              <w:jc w:val="both"/>
            </w:pPr>
          </w:p>
        </w:tc>
        <w:tc>
          <w:tcPr>
            <w:tcW w:w="3543" w:type="dxa"/>
            <w:shd w:val="clear" w:color="auto" w:fill="auto"/>
          </w:tcPr>
          <w:p w:rsidR="003051F9" w:rsidRPr="00E11617" w:rsidRDefault="003051F9" w:rsidP="000F69AB">
            <w:pPr>
              <w:jc w:val="both"/>
              <w:rPr>
                <w:bCs/>
              </w:rPr>
            </w:pPr>
            <w:r w:rsidRPr="00E11617">
              <w:rPr>
                <w:bCs/>
              </w:rPr>
              <w:t>Социальная пенсия по случаю потери кормильца</w:t>
            </w:r>
          </w:p>
        </w:tc>
        <w:tc>
          <w:tcPr>
            <w:tcW w:w="9073" w:type="dxa"/>
            <w:shd w:val="clear" w:color="auto" w:fill="auto"/>
          </w:tcPr>
          <w:p w:rsidR="003051F9" w:rsidRPr="00E11617" w:rsidRDefault="003051F9" w:rsidP="000F69AB">
            <w:pPr>
              <w:jc w:val="both"/>
              <w:rPr>
                <w:bCs/>
              </w:rPr>
            </w:pPr>
            <w:proofErr w:type="gramStart"/>
            <w:r w:rsidRPr="00E11617">
              <w:rPr>
                <w:bCs/>
              </w:rPr>
              <w:t>дети в возрасте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roofErr w:type="gramEnd"/>
          </w:p>
        </w:tc>
      </w:tr>
      <w:tr w:rsidR="003051F9" w:rsidRPr="00E11617" w:rsidTr="000F69AB">
        <w:tc>
          <w:tcPr>
            <w:tcW w:w="1384" w:type="dxa"/>
            <w:vMerge w:val="restart"/>
            <w:shd w:val="clear" w:color="auto" w:fill="auto"/>
            <w:textDirection w:val="btLr"/>
          </w:tcPr>
          <w:p w:rsidR="003051F9" w:rsidRPr="00E11617" w:rsidRDefault="003051F9" w:rsidP="000F69AB">
            <w:pPr>
              <w:ind w:left="113" w:right="113"/>
              <w:jc w:val="center"/>
            </w:pPr>
            <w:r w:rsidRPr="00E11617">
              <w:rPr>
                <w:b/>
              </w:rPr>
              <w:t>Система государственного пенсионного обеспечения</w:t>
            </w:r>
          </w:p>
        </w:tc>
        <w:tc>
          <w:tcPr>
            <w:tcW w:w="709" w:type="dxa"/>
            <w:vMerge w:val="restart"/>
            <w:shd w:val="clear" w:color="auto" w:fill="auto"/>
            <w:textDirection w:val="btLr"/>
          </w:tcPr>
          <w:p w:rsidR="003051F9" w:rsidRPr="0087250D" w:rsidRDefault="003051F9" w:rsidP="000F69AB">
            <w:pPr>
              <w:ind w:left="113" w:right="113"/>
              <w:jc w:val="center"/>
              <w:rPr>
                <w:b/>
              </w:rPr>
            </w:pPr>
            <w:r w:rsidRPr="0087250D">
              <w:rPr>
                <w:b/>
              </w:rPr>
              <w:t>Негосударственная (дополнительная) пенсия</w:t>
            </w:r>
          </w:p>
        </w:tc>
        <w:tc>
          <w:tcPr>
            <w:tcW w:w="3543" w:type="dxa"/>
            <w:shd w:val="clear" w:color="auto" w:fill="auto"/>
          </w:tcPr>
          <w:p w:rsidR="003051F9" w:rsidRPr="00E11617" w:rsidRDefault="003051F9" w:rsidP="000F69AB">
            <w:pPr>
              <w:jc w:val="center"/>
              <w:rPr>
                <w:bCs/>
              </w:rPr>
            </w:pPr>
            <w:r>
              <w:rPr>
                <w:bCs/>
              </w:rPr>
              <w:t>Срочная пенсия</w:t>
            </w:r>
          </w:p>
        </w:tc>
        <w:tc>
          <w:tcPr>
            <w:tcW w:w="9073" w:type="dxa"/>
            <w:shd w:val="clear" w:color="auto" w:fill="auto"/>
          </w:tcPr>
          <w:p w:rsidR="003051F9" w:rsidRPr="00E11617" w:rsidRDefault="003051F9" w:rsidP="000F69AB">
            <w:pPr>
              <w:jc w:val="both"/>
              <w:rPr>
                <w:bCs/>
              </w:rPr>
            </w:pPr>
            <w:r>
              <w:rPr>
                <w:bCs/>
              </w:rPr>
              <w:t>Право на нее имеют граждане-застрахованные лица, в отношении которых ими самими или третьим лицом – страховщиком с негосударственным пенсионным фондом заключен договор пенсионного обеспечения, предполагающий выплату застрахованному лицу пенсии в течени</w:t>
            </w:r>
            <w:proofErr w:type="gramStart"/>
            <w:r>
              <w:rPr>
                <w:bCs/>
              </w:rPr>
              <w:t>и</w:t>
            </w:r>
            <w:proofErr w:type="gramEnd"/>
            <w:r>
              <w:rPr>
                <w:bCs/>
              </w:rPr>
              <w:t xml:space="preserve"> установленного договором срока (например, 3, 5 или 10 лет), начиная с установленного договором момента времени начала выплат пенсии. Если застрахованное лицо умрет до истечения срока выплат,  то оставшаяся сумма невыплаченной пенсии наследуется его правопреемниками.</w:t>
            </w:r>
          </w:p>
        </w:tc>
      </w:tr>
      <w:tr w:rsidR="003051F9" w:rsidRPr="00E11617" w:rsidTr="000F69AB">
        <w:trPr>
          <w:trHeight w:val="2821"/>
        </w:trPr>
        <w:tc>
          <w:tcPr>
            <w:tcW w:w="1384" w:type="dxa"/>
            <w:vMerge/>
            <w:shd w:val="clear" w:color="auto" w:fill="auto"/>
          </w:tcPr>
          <w:p w:rsidR="003051F9" w:rsidRPr="00E11617" w:rsidRDefault="003051F9" w:rsidP="000F69AB">
            <w:pPr>
              <w:jc w:val="both"/>
            </w:pPr>
          </w:p>
        </w:tc>
        <w:tc>
          <w:tcPr>
            <w:tcW w:w="709" w:type="dxa"/>
            <w:vMerge/>
            <w:shd w:val="clear" w:color="auto" w:fill="auto"/>
          </w:tcPr>
          <w:p w:rsidR="003051F9" w:rsidRPr="00E11617" w:rsidRDefault="003051F9" w:rsidP="000F69AB">
            <w:pPr>
              <w:jc w:val="both"/>
            </w:pPr>
          </w:p>
        </w:tc>
        <w:tc>
          <w:tcPr>
            <w:tcW w:w="3543" w:type="dxa"/>
            <w:shd w:val="clear" w:color="auto" w:fill="auto"/>
          </w:tcPr>
          <w:p w:rsidR="003051F9" w:rsidRPr="00E11617" w:rsidRDefault="003051F9" w:rsidP="000F69AB">
            <w:pPr>
              <w:jc w:val="center"/>
              <w:rPr>
                <w:bCs/>
              </w:rPr>
            </w:pPr>
            <w:r>
              <w:rPr>
                <w:bCs/>
              </w:rPr>
              <w:t>Пожизненная пенсия</w:t>
            </w:r>
          </w:p>
        </w:tc>
        <w:tc>
          <w:tcPr>
            <w:tcW w:w="9073" w:type="dxa"/>
            <w:shd w:val="clear" w:color="auto" w:fill="auto"/>
          </w:tcPr>
          <w:p w:rsidR="003051F9" w:rsidRPr="00E11617" w:rsidRDefault="003051F9" w:rsidP="000F69AB">
            <w:pPr>
              <w:jc w:val="both"/>
              <w:rPr>
                <w:bCs/>
              </w:rPr>
            </w:pPr>
            <w:proofErr w:type="gramStart"/>
            <w:r>
              <w:rPr>
                <w:bCs/>
              </w:rPr>
              <w:t>Право на нее имеют граждане-застрахованные лица, в отношении которых ими самими или третьим лицом – страховщиком с негосударственным пенсионным фондом заключен договор пенсионного обеспечения, предполагающий выплату застрахованному лицу пенсии до конца его жизни, начиная с установленного договором момента времени начала выплат пенсии.</w:t>
            </w:r>
            <w:proofErr w:type="gramEnd"/>
            <w:r>
              <w:rPr>
                <w:bCs/>
              </w:rPr>
              <w:t xml:space="preserve"> Если застрахованное лицо умрет до наступления установленного договором момента времени начала выплат пенсии,  то вся сумма невыплаченной пенсии наследуется его правопреемниками. Если же смерть застрахованное лицо хотя бы единожды получило пенсию по пенсионному договору, и умерло, то невыплаченные суммы его пенсии зачисляются в доход фонда и не наследуются правопреемниками умершего застрахованного лица.</w:t>
            </w:r>
          </w:p>
        </w:tc>
      </w:tr>
    </w:tbl>
    <w:p w:rsidR="003051F9" w:rsidRPr="00E11617" w:rsidRDefault="003051F9" w:rsidP="003051F9">
      <w:pPr>
        <w:spacing w:after="60" w:line="360" w:lineRule="auto"/>
        <w:ind w:firstLine="720"/>
        <w:jc w:val="both"/>
        <w:rPr>
          <w:b/>
          <w:bCs/>
          <w:sz w:val="28"/>
          <w:szCs w:val="28"/>
        </w:rPr>
      </w:pPr>
      <w:r w:rsidRPr="00E11617">
        <w:rPr>
          <w:sz w:val="28"/>
          <w:szCs w:val="28"/>
        </w:rPr>
        <w:t>Источник: построено по данным сайта ПФ РФ (http://www.pfrf.ru)</w:t>
      </w:r>
    </w:p>
    <w:p w:rsidR="003051F9" w:rsidRDefault="003051F9" w:rsidP="003051F9">
      <w:pPr>
        <w:spacing w:line="360" w:lineRule="auto"/>
        <w:ind w:firstLine="709"/>
        <w:jc w:val="both"/>
        <w:rPr>
          <w:sz w:val="28"/>
          <w:szCs w:val="28"/>
        </w:rPr>
        <w:sectPr w:rsidR="003051F9" w:rsidSect="003051F9">
          <w:pgSz w:w="16838" w:h="11906" w:orient="landscape"/>
          <w:pgMar w:top="851" w:right="851" w:bottom="851" w:left="851" w:header="709" w:footer="709" w:gutter="0"/>
          <w:cols w:space="708"/>
          <w:docGrid w:linePitch="360"/>
        </w:sectPr>
      </w:pPr>
    </w:p>
    <w:p w:rsidR="003051F9" w:rsidRPr="007A57F3" w:rsidRDefault="003051F9" w:rsidP="003051F9">
      <w:pPr>
        <w:pStyle w:val="a6"/>
      </w:pPr>
      <w:r w:rsidRPr="007A57F3">
        <w:lastRenderedPageBreak/>
        <w:t>Примечание к таблице:</w:t>
      </w:r>
    </w:p>
    <w:p w:rsidR="003051F9" w:rsidRPr="007A57F3" w:rsidRDefault="003051F9" w:rsidP="003051F9">
      <w:pPr>
        <w:pStyle w:val="a6"/>
        <w:spacing w:before="0" w:beforeAutospacing="0" w:after="0" w:afterAutospacing="0"/>
        <w:jc w:val="both"/>
      </w:pPr>
      <w:r w:rsidRPr="007A57F3">
        <w:rPr>
          <w:b/>
          <w:vertAlign w:val="superscript"/>
        </w:rPr>
        <w:t xml:space="preserve">** </w:t>
      </w:r>
      <w:r w:rsidRPr="007A57F3">
        <w:rPr>
          <w:b/>
        </w:rPr>
        <w:t>-нетрудоспособными членами семьи признаются</w:t>
      </w:r>
      <w:r w:rsidRPr="007A57F3">
        <w:t>:</w:t>
      </w:r>
    </w:p>
    <w:p w:rsidR="003051F9" w:rsidRPr="007A57F3" w:rsidRDefault="003051F9" w:rsidP="003051F9">
      <w:pPr>
        <w:pStyle w:val="a6"/>
        <w:numPr>
          <w:ilvl w:val="0"/>
          <w:numId w:val="12"/>
        </w:numPr>
        <w:spacing w:before="0" w:beforeAutospacing="0" w:after="0" w:afterAutospacing="0"/>
        <w:jc w:val="both"/>
      </w:pPr>
      <w:proofErr w:type="gramStart"/>
      <w:r w:rsidRPr="007A57F3">
        <w:t>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в образовательных учреждениях всех типов и видов независимо от их организационно-правовой формы, в том числе в иностранных образовательных учреждениях, расположенных за пределами территории Российской Федерации, если направление на обучение произведено в соответствии с международными договорами</w:t>
      </w:r>
      <w:proofErr w:type="gramEnd"/>
      <w:r w:rsidRPr="007A57F3">
        <w:t xml:space="preserve"> Российской Федерации,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3051F9" w:rsidRPr="007A57F3" w:rsidRDefault="003051F9" w:rsidP="003051F9">
      <w:pPr>
        <w:pStyle w:val="a6"/>
        <w:numPr>
          <w:ilvl w:val="0"/>
          <w:numId w:val="12"/>
        </w:numPr>
        <w:spacing w:before="0" w:beforeAutospacing="0" w:after="0" w:afterAutospacing="0"/>
        <w:jc w:val="both"/>
      </w:pPr>
      <w:proofErr w:type="gramStart"/>
      <w:r w:rsidRPr="007A57F3">
        <w:t>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и не работают.</w:t>
      </w:r>
      <w:proofErr w:type="gramEnd"/>
      <w:r w:rsidRPr="007A57F3">
        <w:br/>
      </w:r>
      <w:r w:rsidRPr="007A57F3">
        <w:rPr>
          <w:rStyle w:val="a8"/>
        </w:rPr>
        <w:t>При этом</w:t>
      </w:r>
      <w:proofErr w:type="gramStart"/>
      <w:r w:rsidRPr="007A57F3">
        <w:rPr>
          <w:rStyle w:val="a8"/>
        </w:rPr>
        <w:t>,</w:t>
      </w:r>
      <w:proofErr w:type="gramEnd"/>
      <w:r w:rsidRPr="007A57F3">
        <w:rPr>
          <w:rStyle w:val="a8"/>
        </w:rPr>
        <w:t xml:space="preserve"> указанная пенсия назначается независимо от того, состояли они или нет на иждивении умершего кормильца (за исключением лиц, совершивших умышленное уголовно наказуемое деяние, повлекшее за собой смерть кормильца и установленное в судебном порядке).</w:t>
      </w:r>
    </w:p>
    <w:p w:rsidR="003051F9" w:rsidRPr="007A57F3" w:rsidRDefault="003051F9" w:rsidP="003051F9">
      <w:pPr>
        <w:pStyle w:val="a6"/>
        <w:numPr>
          <w:ilvl w:val="0"/>
          <w:numId w:val="13"/>
        </w:numPr>
        <w:spacing w:before="0" w:beforeAutospacing="0" w:after="0" w:afterAutospacing="0"/>
        <w:jc w:val="both"/>
      </w:pPr>
      <w:r w:rsidRPr="007A57F3">
        <w:t>Родители и супруг умершего кормильца, если они достигли возраста 60 и 55 лет (соответственно мужчины и женщины) либо являются инвалидами;</w:t>
      </w:r>
    </w:p>
    <w:p w:rsidR="003051F9" w:rsidRPr="007A57F3" w:rsidRDefault="003051F9" w:rsidP="003051F9">
      <w:pPr>
        <w:pStyle w:val="a6"/>
        <w:numPr>
          <w:ilvl w:val="0"/>
          <w:numId w:val="13"/>
        </w:numPr>
        <w:spacing w:before="0" w:beforeAutospacing="0" w:after="0" w:afterAutospacing="0"/>
        <w:jc w:val="both"/>
      </w:pPr>
      <w:r w:rsidRPr="007A57F3">
        <w:t>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3051F9" w:rsidRPr="007A57F3" w:rsidRDefault="003051F9" w:rsidP="003051F9">
      <w:pPr>
        <w:pStyle w:val="a6"/>
        <w:spacing w:before="0" w:beforeAutospacing="0" w:after="0" w:afterAutospacing="0"/>
        <w:jc w:val="both"/>
      </w:pPr>
      <w:r w:rsidRPr="007A57F3">
        <w:t>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3051F9" w:rsidRPr="007A57F3" w:rsidRDefault="003051F9" w:rsidP="003051F9">
      <w:pPr>
        <w:pStyle w:val="a6"/>
        <w:spacing w:before="0" w:beforeAutospacing="0" w:after="0" w:afterAutospacing="0"/>
        <w:jc w:val="both"/>
      </w:pPr>
      <w:r w:rsidRPr="007A57F3">
        <w:t>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3051F9" w:rsidRPr="007A57F3" w:rsidRDefault="003051F9" w:rsidP="003051F9">
      <w:pPr>
        <w:pStyle w:val="a6"/>
        <w:spacing w:before="0" w:beforeAutospacing="0" w:after="0" w:afterAutospacing="0"/>
        <w:jc w:val="both"/>
        <w:rPr>
          <w:b/>
        </w:rPr>
      </w:pPr>
    </w:p>
    <w:p w:rsidR="003051F9" w:rsidRPr="007A57F3" w:rsidRDefault="003051F9" w:rsidP="003051F9">
      <w:pPr>
        <w:pStyle w:val="a6"/>
        <w:spacing w:before="0" w:beforeAutospacing="0" w:after="0" w:afterAutospacing="0"/>
        <w:jc w:val="both"/>
      </w:pPr>
      <w:r w:rsidRPr="007A57F3">
        <w:t xml:space="preserve">*** </w:t>
      </w:r>
      <w:r w:rsidRPr="007A57F3">
        <w:rPr>
          <w:b/>
        </w:rPr>
        <w:t xml:space="preserve">- </w:t>
      </w:r>
      <w:r w:rsidRPr="007A57F3">
        <w:t>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3051F9" w:rsidRPr="00320563" w:rsidRDefault="003051F9" w:rsidP="003051F9">
      <w:pPr>
        <w:pStyle w:val="a6"/>
        <w:spacing w:before="0" w:beforeAutospacing="0" w:after="0" w:afterAutospacing="0"/>
        <w:jc w:val="both"/>
        <w:rPr>
          <w:sz w:val="28"/>
          <w:szCs w:val="28"/>
        </w:rPr>
      </w:pPr>
      <w:r w:rsidRPr="007A57F3">
        <w:t>Условия назначения пенсий гражданам, пострадавшим в результате других (не чернобыльской) радиационных или техногенных катастроф, а также членам их семей устанавливаются Правительством Российской Федерации.</w:t>
      </w:r>
    </w:p>
    <w:p w:rsidR="008A666A" w:rsidRPr="008A666A" w:rsidRDefault="008A666A"/>
    <w:sectPr w:rsidR="008A666A" w:rsidRPr="008A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06DCE"/>
    <w:multiLevelType w:val="hybridMultilevel"/>
    <w:tmpl w:val="6FE2AB08"/>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EF049B7"/>
    <w:multiLevelType w:val="hybridMultilevel"/>
    <w:tmpl w:val="54FCD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10659E"/>
    <w:multiLevelType w:val="hybridMultilevel"/>
    <w:tmpl w:val="7A4E96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187331"/>
    <w:multiLevelType w:val="hybridMultilevel"/>
    <w:tmpl w:val="39F24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E6FF6"/>
    <w:multiLevelType w:val="hybridMultilevel"/>
    <w:tmpl w:val="A0705AD6"/>
    <w:lvl w:ilvl="0" w:tplc="FD5441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110DD9"/>
    <w:multiLevelType w:val="hybridMultilevel"/>
    <w:tmpl w:val="69A2E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ABC29A4"/>
    <w:multiLevelType w:val="multilevel"/>
    <w:tmpl w:val="809E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55441C"/>
    <w:multiLevelType w:val="hybridMultilevel"/>
    <w:tmpl w:val="2BF6F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331A44"/>
    <w:multiLevelType w:val="hybridMultilevel"/>
    <w:tmpl w:val="9A72A09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9">
    <w:nsid w:val="43111FE3"/>
    <w:multiLevelType w:val="hybridMultilevel"/>
    <w:tmpl w:val="19E6135E"/>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F5D75FB"/>
    <w:multiLevelType w:val="hybridMultilevel"/>
    <w:tmpl w:val="4E5445C4"/>
    <w:lvl w:ilvl="0" w:tplc="0419000B">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nsid w:val="5A470D14"/>
    <w:multiLevelType w:val="multilevel"/>
    <w:tmpl w:val="D1BA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A8771A"/>
    <w:multiLevelType w:val="hybridMultilevel"/>
    <w:tmpl w:val="C8448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4"/>
  </w:num>
  <w:num w:numId="6">
    <w:abstractNumId w:val="1"/>
  </w:num>
  <w:num w:numId="7">
    <w:abstractNumId w:val="5"/>
  </w:num>
  <w:num w:numId="8">
    <w:abstractNumId w:val="2"/>
  </w:num>
  <w:num w:numId="9">
    <w:abstractNumId w:val="3"/>
  </w:num>
  <w:num w:numId="10">
    <w:abstractNumId w:val="12"/>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66A"/>
    <w:rsid w:val="000F39B3"/>
    <w:rsid w:val="003051F9"/>
    <w:rsid w:val="00333D2C"/>
    <w:rsid w:val="003758E4"/>
    <w:rsid w:val="00646674"/>
    <w:rsid w:val="008A666A"/>
    <w:rsid w:val="00B91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66A"/>
    <w:rPr>
      <w:rFonts w:ascii="Tahoma" w:hAnsi="Tahoma" w:cs="Tahoma"/>
      <w:sz w:val="16"/>
      <w:szCs w:val="16"/>
    </w:rPr>
  </w:style>
  <w:style w:type="character" w:customStyle="1" w:styleId="a4">
    <w:name w:val="Текст выноски Знак"/>
    <w:basedOn w:val="a0"/>
    <w:link w:val="a3"/>
    <w:uiPriority w:val="99"/>
    <w:semiHidden/>
    <w:rsid w:val="008A666A"/>
    <w:rPr>
      <w:rFonts w:ascii="Tahoma" w:eastAsia="Times New Roman" w:hAnsi="Tahoma" w:cs="Tahoma"/>
      <w:sz w:val="16"/>
      <w:szCs w:val="16"/>
      <w:lang w:eastAsia="ru-RU"/>
    </w:rPr>
  </w:style>
  <w:style w:type="character" w:styleId="a5">
    <w:name w:val="Hyperlink"/>
    <w:rsid w:val="008A666A"/>
    <w:rPr>
      <w:color w:val="0000FF"/>
      <w:u w:val="single"/>
    </w:rPr>
  </w:style>
  <w:style w:type="paragraph" w:styleId="a6">
    <w:name w:val="Normal (Web)"/>
    <w:basedOn w:val="a"/>
    <w:uiPriority w:val="99"/>
    <w:unhideWhenUsed/>
    <w:rsid w:val="008A666A"/>
    <w:pPr>
      <w:spacing w:before="100" w:beforeAutospacing="1" w:after="100" w:afterAutospacing="1"/>
    </w:pPr>
  </w:style>
  <w:style w:type="character" w:styleId="a7">
    <w:name w:val="Strong"/>
    <w:uiPriority w:val="22"/>
    <w:qFormat/>
    <w:rsid w:val="008A666A"/>
    <w:rPr>
      <w:b/>
      <w:bCs/>
    </w:rPr>
  </w:style>
  <w:style w:type="character" w:styleId="a8">
    <w:name w:val="Emphasis"/>
    <w:uiPriority w:val="20"/>
    <w:qFormat/>
    <w:rsid w:val="003051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6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66A"/>
    <w:rPr>
      <w:rFonts w:ascii="Tahoma" w:hAnsi="Tahoma" w:cs="Tahoma"/>
      <w:sz w:val="16"/>
      <w:szCs w:val="16"/>
    </w:rPr>
  </w:style>
  <w:style w:type="character" w:customStyle="1" w:styleId="a4">
    <w:name w:val="Текст выноски Знак"/>
    <w:basedOn w:val="a0"/>
    <w:link w:val="a3"/>
    <w:uiPriority w:val="99"/>
    <w:semiHidden/>
    <w:rsid w:val="008A666A"/>
    <w:rPr>
      <w:rFonts w:ascii="Tahoma" w:eastAsia="Times New Roman" w:hAnsi="Tahoma" w:cs="Tahoma"/>
      <w:sz w:val="16"/>
      <w:szCs w:val="16"/>
      <w:lang w:eastAsia="ru-RU"/>
    </w:rPr>
  </w:style>
  <w:style w:type="character" w:styleId="a5">
    <w:name w:val="Hyperlink"/>
    <w:rsid w:val="008A666A"/>
    <w:rPr>
      <w:color w:val="0000FF"/>
      <w:u w:val="single"/>
    </w:rPr>
  </w:style>
  <w:style w:type="paragraph" w:styleId="a6">
    <w:name w:val="Normal (Web)"/>
    <w:basedOn w:val="a"/>
    <w:uiPriority w:val="99"/>
    <w:unhideWhenUsed/>
    <w:rsid w:val="008A666A"/>
    <w:pPr>
      <w:spacing w:before="100" w:beforeAutospacing="1" w:after="100" w:afterAutospacing="1"/>
    </w:pPr>
  </w:style>
  <w:style w:type="character" w:styleId="a7">
    <w:name w:val="Strong"/>
    <w:uiPriority w:val="22"/>
    <w:qFormat/>
    <w:rsid w:val="008A666A"/>
    <w:rPr>
      <w:b/>
      <w:bCs/>
    </w:rPr>
  </w:style>
  <w:style w:type="character" w:styleId="a8">
    <w:name w:val="Emphasis"/>
    <w:uiPriority w:val="20"/>
    <w:qFormat/>
    <w:rsid w:val="00305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fr@044.pfr.ru" TargetMode="External"/><Relationship Id="rId3" Type="http://schemas.microsoft.com/office/2007/relationships/stylesWithEffects" Target="stylesWithEffects.xml"/><Relationship Id="rId7" Type="http://schemas.openxmlformats.org/officeDocument/2006/relationships/hyperlink" Target="http://www.pfrf.ru/financed_public_pens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userdata/invest/npf/npf.xl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frf.ru/state_survivors_pension/" TargetMode="External"/><Relationship Id="rId4" Type="http://schemas.openxmlformats.org/officeDocument/2006/relationships/settings" Target="settings.xml"/><Relationship Id="rId9" Type="http://schemas.openxmlformats.org/officeDocument/2006/relationships/hyperlink" Target="http://www.pfrf.ru/retirement_pens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4</cp:revision>
  <dcterms:created xsi:type="dcterms:W3CDTF">2011-12-14T05:48:00Z</dcterms:created>
  <dcterms:modified xsi:type="dcterms:W3CDTF">2011-12-14T06:26:00Z</dcterms:modified>
</cp:coreProperties>
</file>