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3A9" w:rsidRPr="00443703" w:rsidRDefault="00D443A9" w:rsidP="00D443A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  <w:r w:rsidRPr="00443703">
        <w:rPr>
          <w:rFonts w:ascii="Times New Roman" w:hAnsi="Times New Roman"/>
          <w:b/>
          <w:sz w:val="28"/>
        </w:rPr>
        <w:t xml:space="preserve">Пример оформления разных источников </w:t>
      </w:r>
    </w:p>
    <w:p w:rsidR="00D443A9" w:rsidRDefault="00D443A9" w:rsidP="00D443A9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443703" w:rsidRPr="00D443A9" w:rsidRDefault="00443703" w:rsidP="00443703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A9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ПЕЧАТНЫЙ ИСТОЧНИК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>Конституция Российской Федерации (принята всенародным голосованием 12 декабря 1993 года с изменениями, одобренными в ходе общероссийского голосования 1 июля 2020 года. – М.: Омега-Л, 2022. – 128 с.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ЭЛЕКТРОННЫЙ ИСТОЧНИК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Паспорт национального проекта «Национальная программа «Цифровая экономика Российской Федерации» (утв. президиумом Совета при Президенте РФ по стратегическому развитию и национальным проектам, протокол от 04.06.2019 № 7) // СПС Консультант Плюс. </w:t>
      </w:r>
      <w:r w:rsidRPr="00D443A9">
        <w:rPr>
          <w:rFonts w:ascii="Times New Roman" w:hAnsi="Times New Roman"/>
          <w:sz w:val="28"/>
          <w:lang w:val="en-US"/>
        </w:rPr>
        <w:t>URL</w:t>
      </w:r>
      <w:r w:rsidRPr="00D443A9">
        <w:rPr>
          <w:rFonts w:ascii="Times New Roman" w:hAnsi="Times New Roman"/>
          <w:sz w:val="28"/>
        </w:rPr>
        <w:t>: http://www.consultant.ru/document/cons_doc_LAW_328854/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ЭЛЕКТРОННЫЙ ИСТОЧНИК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Налоговый кодекс Российской Федерации (часть первая) от 31.07.1998 № 146-ФЗ (ред. от 02.10.2021) (с изм. и доп., вступ. в силу с 02.10.2021) // СПС Консультант Плюс. </w:t>
      </w:r>
      <w:r w:rsidRPr="00D443A9">
        <w:rPr>
          <w:rFonts w:ascii="Times New Roman" w:hAnsi="Times New Roman"/>
          <w:sz w:val="28"/>
          <w:lang w:val="en-US"/>
        </w:rPr>
        <w:t>URL</w:t>
      </w:r>
      <w:r w:rsidRPr="00D443A9">
        <w:rPr>
          <w:rFonts w:ascii="Times New Roman" w:hAnsi="Times New Roman"/>
          <w:sz w:val="28"/>
        </w:rPr>
        <w:t>: http://www.consultant.ru/document/cons_doc_LAW_19671/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ЭЛЕКТРОННЫЙ ИСТОЧНИК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Федеральный закон «О банках и банковской деятельности» от 02.12.1990 № 395-1 (с изм. и доп. от 30.12.2021 № 471-ФЗ) // СПС Консультант Плюс. </w:t>
      </w:r>
      <w:r w:rsidRPr="00D443A9">
        <w:rPr>
          <w:rFonts w:ascii="Times New Roman" w:hAnsi="Times New Roman"/>
          <w:sz w:val="28"/>
          <w:lang w:val="en-US"/>
        </w:rPr>
        <w:t>URL</w:t>
      </w:r>
      <w:r w:rsidRPr="00D443A9">
        <w:rPr>
          <w:rFonts w:ascii="Times New Roman" w:hAnsi="Times New Roman"/>
          <w:sz w:val="28"/>
        </w:rPr>
        <w:t>: http://www.consultant.ru/document/cons_doc_LAW_5842/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ЭЛЕКТРОННЫЙ ИСТОЧНИК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Инструкция Банка России от 30.05.2014 № 153-И (ред. от 02.02.2021) «Об открытии и закрытии банковских счетов, счетов по вкладам (депозитам), депозитных счетов» (Зарегистрировано в Минюсте России 19.06.2014 № </w:t>
      </w:r>
      <w:r w:rsidRPr="00D443A9">
        <w:rPr>
          <w:rFonts w:ascii="Times New Roman" w:hAnsi="Times New Roman"/>
          <w:sz w:val="28"/>
        </w:rPr>
        <w:lastRenderedPageBreak/>
        <w:t xml:space="preserve">32813) // СПС Консультант Плюс. </w:t>
      </w:r>
      <w:r w:rsidRPr="00D443A9">
        <w:rPr>
          <w:rFonts w:ascii="Times New Roman" w:hAnsi="Times New Roman"/>
          <w:sz w:val="28"/>
          <w:lang w:val="en-US"/>
        </w:rPr>
        <w:t>URL</w:t>
      </w:r>
      <w:r w:rsidRPr="00D443A9">
        <w:rPr>
          <w:rFonts w:ascii="Times New Roman" w:hAnsi="Times New Roman"/>
          <w:sz w:val="28"/>
        </w:rPr>
        <w:t>: http://www.consultant.ru/document/cons_doc_LAW_164723/</w:t>
      </w:r>
    </w:p>
    <w:p w:rsidR="00443703" w:rsidRDefault="00D443A9" w:rsidP="00443703">
      <w:pPr>
        <w:shd w:val="clear" w:color="auto" w:fill="D9D9D9" w:themeFill="background1" w:themeFillShade="D9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Научная и учебная литература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ПЕЧАТНАЯ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ОДИН АВТОР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>Алиев, Р.В. Сущность и история становления банкротства / Р.В. Алиев // Молодой ученый. - 2018. - № 40. - С. 120-121.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 xml:space="preserve">ДВА АВТОРА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>Абдуллаев, А.З., Магомедова, М.А. Анализ зарубежного регулирования несостоятельности (банкротства) физических лиц / А.З. Абдуллаев, М.А. Магомедова // Закон и право. –</w:t>
      </w:r>
      <w:r w:rsidR="00443703">
        <w:rPr>
          <w:rFonts w:ascii="Times New Roman" w:hAnsi="Times New Roman"/>
          <w:sz w:val="28"/>
        </w:rPr>
        <w:t xml:space="preserve"> 2018. - № 9. - С. </w:t>
      </w:r>
      <w:r w:rsidRPr="00D443A9">
        <w:rPr>
          <w:rFonts w:ascii="Times New Roman" w:hAnsi="Times New Roman"/>
          <w:sz w:val="28"/>
        </w:rPr>
        <w:t xml:space="preserve">71-76. 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БОЛЕЕ ДВУХ АВТОРОВ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>Епифанова, Т.В. Банкротство физических лиц: анализ проблем и их решение / Т.В. Епифанова, Ю.В. Дядюря, В.В. Надолинская // Проблемы экономики и юридической практики. - 2018. - № 5. - С. 143-145.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КНИГА, УЧЕБНИК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>Модель доходной стратификации российского общества: динамика, факторы, межстрановые сравнения / Под ред. Н.Е. Тихоновой. М.: Нестор-История, 2018. – 246 с.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УЧЕБНИК, УЧЕБНОЕ ПОСОБИЕ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>Басовский, Л.Е. Финансовый менеджмент: учебное пособие / Л.Е. Басовский. - М.: Риор, 2019. - 350 c.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СТАТЬЯ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>Немцев, М.Ю., Козлова, В.В. Криминальное банкротство физических лиц / М.Ю. Немцев, В.В. Козлова // Вестник Омского университета. Серия «Право». – 2019. - Выпуск 16. - № 3. - С. 157-163.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АВТОРЕФЕРАТ ДОКТОРСКОЙ ДИССЕРТАЦИИ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Бобрик, М.А. Совершенствование системы индикаторов финансовой устойчивости коммерческих банков: автореф. дис. доктора экон. наук: 08.00.10 / М.А. Бобрик. – Москва, 2011. – 25 с. 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lastRenderedPageBreak/>
        <w:t>ДОКТОРСКАЯ ДИССЕРТАЦИЯ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Бобрик, М.А. Совершенствование системы индикаторов финансовой устойчивости коммерческих банков: дис. доктора экон. наук : 08.00.10 / М.А. Бобрик. – Москва, 2011. – 360 с. 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АВТОРЕФЕРАТ КАНДИДАТСКОЙ ДИССЕРТАЦИИ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Бобрик, М.А. Совершенствование системы индикаторов финансовой устойчивости коммерческих банков: автореф. дис. канд. экон. наук : 08.00.10 / М.А. Бобрик. – Москва, 2011. – 25 с. 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ДОКТОРСКАЯ ДИССЕРТАЦИЯ</w:t>
      </w:r>
      <w:r w:rsidRPr="00D443A9">
        <w:rPr>
          <w:rFonts w:ascii="Times New Roman" w:hAnsi="Times New Roman"/>
          <w:sz w:val="28"/>
        </w:rPr>
        <w:t xml:space="preserve">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Бобрик, М.А. Совершенствование системы индикаторов финансовой устойчивости коммерческих банков: дис. канд экон. наук: 08.00.10 / М.А. Бобрик. – Москва, 2011. – 225 с. 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СТАТИСТИЧЕСКИЙ ЭЛЕКТРОННЫЙ СБОРНИК</w:t>
      </w:r>
      <w:r w:rsidRPr="00D443A9">
        <w:rPr>
          <w:rFonts w:ascii="Times New Roman" w:hAnsi="Times New Roman"/>
          <w:sz w:val="28"/>
        </w:rPr>
        <w:t xml:space="preserve"> Регионы России. Социально-экономические показатели - 2015 г. </w:t>
      </w:r>
      <w:r w:rsidRPr="00D443A9">
        <w:rPr>
          <w:rFonts w:ascii="Times New Roman" w:hAnsi="Times New Roman"/>
          <w:sz w:val="28"/>
          <w:lang w:val="en-US"/>
        </w:rPr>
        <w:t>URL</w:t>
      </w:r>
      <w:r w:rsidRPr="00D443A9">
        <w:rPr>
          <w:rFonts w:ascii="Times New Roman" w:hAnsi="Times New Roman"/>
          <w:sz w:val="28"/>
        </w:rPr>
        <w:t>: https://gks.ru/bgd/regl/B15_14p/Main.htm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СТАТИСТИЧЕСКИЙ ПЕЧАТНЫЙ СБОРНИК</w:t>
      </w:r>
      <w:r w:rsidRPr="00D443A9">
        <w:rPr>
          <w:rFonts w:ascii="Times New Roman" w:hAnsi="Times New Roman"/>
          <w:sz w:val="28"/>
        </w:rPr>
        <w:t xml:space="preserve"> Российский статистический ежегодник. 2018: Стат.сб. / Росстат. – Москва. – 2018. – 694 с.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МОНОГРАФИЯ ЭЛЕКТРОННАЯ</w:t>
      </w:r>
      <w:r w:rsidRPr="00D443A9">
        <w:rPr>
          <w:rFonts w:ascii="Times New Roman" w:hAnsi="Times New Roman"/>
          <w:sz w:val="28"/>
        </w:rPr>
        <w:t xml:space="preserve"> Стукач, В.Ф., Зинич, Л.В. Микрокластер сельского поселения: ведение хозяйства, отношения партнеров в составе микрокластера, кооперация на рынке: монография / В.Ф. Стукач, Л.В. Зинич. - Омск: Изд-во ОмГАУ, 2013. </w:t>
      </w:r>
      <w:r w:rsidRPr="00D443A9">
        <w:rPr>
          <w:rFonts w:ascii="Times New Roman" w:hAnsi="Times New Roman"/>
          <w:sz w:val="28"/>
          <w:lang w:val="en-US"/>
        </w:rPr>
        <w:t>URL</w:t>
      </w:r>
      <w:r w:rsidRPr="00D443A9">
        <w:rPr>
          <w:rFonts w:ascii="Times New Roman" w:hAnsi="Times New Roman"/>
          <w:sz w:val="28"/>
        </w:rPr>
        <w:t>: https://mpra.ub.uni-muenchen.de/77982/1/MPRA_paper_77982.pdf</w:t>
      </w:r>
    </w:p>
    <w:p w:rsidR="00443703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 xml:space="preserve">МОНОГРАФИЯ ПЕЧАТНАЯ </w:t>
      </w:r>
      <w:r w:rsidRPr="00D443A9">
        <w:rPr>
          <w:rFonts w:ascii="Times New Roman" w:hAnsi="Times New Roman"/>
          <w:sz w:val="28"/>
        </w:rPr>
        <w:t>Стукач, В.Ф., Флейклер, И.А. Финансово-кредитная инфраструктура регионального АПК: монография / В.Ф. Стукач, И.А. Флейклер. – Омск: Изд-во ОмГАУ, 2007. – 204 с.</w:t>
      </w:r>
    </w:p>
    <w:p w:rsidR="00443703" w:rsidRDefault="0044370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43703" w:rsidRPr="00D443A9" w:rsidRDefault="00443703" w:rsidP="00443703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A9">
        <w:rPr>
          <w:rFonts w:ascii="Times New Roman" w:hAnsi="Times New Roman" w:cs="Times New Roman"/>
          <w:b/>
          <w:sz w:val="28"/>
          <w:szCs w:val="28"/>
        </w:rPr>
        <w:lastRenderedPageBreak/>
        <w:t>Литература на иностранных языках</w:t>
      </w:r>
    </w:p>
    <w:p w:rsidR="00D443A9" w:rsidRPr="00493E2B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ИНОСТРАННЫЕ</w:t>
      </w:r>
      <w:r w:rsidRPr="00493E2B">
        <w:rPr>
          <w:rFonts w:ascii="Times New Roman" w:hAnsi="Times New Roman"/>
          <w:b/>
          <w:bCs/>
          <w:sz w:val="28"/>
        </w:rPr>
        <w:t xml:space="preserve"> </w:t>
      </w:r>
      <w:r w:rsidRPr="00D443A9">
        <w:rPr>
          <w:rFonts w:ascii="Times New Roman" w:hAnsi="Times New Roman"/>
          <w:b/>
          <w:bCs/>
          <w:sz w:val="28"/>
        </w:rPr>
        <w:t>ПЕЧАТНЫЕ</w:t>
      </w:r>
      <w:r w:rsidRPr="00493E2B">
        <w:rPr>
          <w:rFonts w:ascii="Times New Roman" w:hAnsi="Times New Roman"/>
          <w:b/>
          <w:bCs/>
          <w:sz w:val="28"/>
        </w:rPr>
        <w:t xml:space="preserve"> </w:t>
      </w:r>
      <w:r w:rsidRPr="00D443A9">
        <w:rPr>
          <w:rFonts w:ascii="Times New Roman" w:hAnsi="Times New Roman"/>
          <w:b/>
          <w:bCs/>
          <w:sz w:val="28"/>
        </w:rPr>
        <w:t>ИСТОЧНИКИ</w:t>
      </w:r>
      <w:r w:rsidRPr="00493E2B">
        <w:rPr>
          <w:rFonts w:ascii="Times New Roman" w:hAnsi="Times New Roman"/>
          <w:b/>
          <w:bCs/>
          <w:sz w:val="28"/>
        </w:rPr>
        <w:t xml:space="preserve"> - </w:t>
      </w:r>
      <w:r w:rsidRPr="00D443A9">
        <w:rPr>
          <w:rFonts w:ascii="Times New Roman" w:hAnsi="Times New Roman"/>
          <w:b/>
          <w:bCs/>
          <w:sz w:val="28"/>
        </w:rPr>
        <w:t>СТАТЬЯ</w:t>
      </w:r>
      <w:r w:rsidRPr="00493E2B">
        <w:rPr>
          <w:rFonts w:ascii="Times New Roman" w:hAnsi="Times New Roman"/>
          <w:sz w:val="28"/>
        </w:rPr>
        <w:t xml:space="preserve"> </w:t>
      </w:r>
      <w:r w:rsidRPr="00D443A9">
        <w:rPr>
          <w:rFonts w:ascii="Times New Roman" w:hAnsi="Times New Roman"/>
          <w:sz w:val="28"/>
          <w:lang w:val="en-US"/>
        </w:rPr>
        <w:t>Enke</w:t>
      </w:r>
      <w:r w:rsidRPr="00493E2B">
        <w:rPr>
          <w:rFonts w:ascii="Times New Roman" w:hAnsi="Times New Roman"/>
          <w:sz w:val="28"/>
        </w:rPr>
        <w:t xml:space="preserve">, </w:t>
      </w:r>
      <w:r w:rsidRPr="00D443A9">
        <w:rPr>
          <w:rFonts w:ascii="Times New Roman" w:hAnsi="Times New Roman"/>
          <w:sz w:val="28"/>
          <w:lang w:val="en-US"/>
        </w:rPr>
        <w:t>S</w:t>
      </w:r>
      <w:r w:rsidRPr="00493E2B">
        <w:rPr>
          <w:rFonts w:ascii="Times New Roman" w:hAnsi="Times New Roman"/>
          <w:sz w:val="28"/>
        </w:rPr>
        <w:t xml:space="preserve">. </w:t>
      </w:r>
      <w:r w:rsidRPr="00D443A9">
        <w:rPr>
          <w:rFonts w:ascii="Times New Roman" w:hAnsi="Times New Roman"/>
          <w:sz w:val="28"/>
          <w:lang w:val="en-US"/>
        </w:rPr>
        <w:t>Consumer</w:t>
      </w:r>
      <w:r w:rsidRPr="00493E2B">
        <w:rPr>
          <w:rFonts w:ascii="Times New Roman" w:hAnsi="Times New Roman"/>
          <w:sz w:val="28"/>
        </w:rPr>
        <w:t xml:space="preserve"> </w:t>
      </w:r>
      <w:r w:rsidRPr="00D443A9">
        <w:rPr>
          <w:rFonts w:ascii="Times New Roman" w:hAnsi="Times New Roman"/>
          <w:sz w:val="28"/>
          <w:lang w:val="en-US"/>
        </w:rPr>
        <w:t>Cooperatives</w:t>
      </w:r>
      <w:r w:rsidRPr="00493E2B">
        <w:rPr>
          <w:rFonts w:ascii="Times New Roman" w:hAnsi="Times New Roman"/>
          <w:sz w:val="28"/>
        </w:rPr>
        <w:t xml:space="preserve"> </w:t>
      </w:r>
      <w:r w:rsidRPr="00D443A9">
        <w:rPr>
          <w:rFonts w:ascii="Times New Roman" w:hAnsi="Times New Roman"/>
          <w:sz w:val="28"/>
          <w:lang w:val="en-US"/>
        </w:rPr>
        <w:t>and</w:t>
      </w:r>
      <w:r w:rsidRPr="00493E2B">
        <w:rPr>
          <w:rFonts w:ascii="Times New Roman" w:hAnsi="Times New Roman"/>
          <w:sz w:val="28"/>
        </w:rPr>
        <w:t xml:space="preserve"> </w:t>
      </w:r>
      <w:r w:rsidRPr="00D443A9">
        <w:rPr>
          <w:rFonts w:ascii="Times New Roman" w:hAnsi="Times New Roman"/>
          <w:sz w:val="28"/>
          <w:lang w:val="en-US"/>
        </w:rPr>
        <w:t>Economic</w:t>
      </w:r>
      <w:r w:rsidRPr="00493E2B">
        <w:rPr>
          <w:rFonts w:ascii="Times New Roman" w:hAnsi="Times New Roman"/>
          <w:sz w:val="28"/>
        </w:rPr>
        <w:t xml:space="preserve"> </w:t>
      </w:r>
      <w:r w:rsidRPr="00D443A9">
        <w:rPr>
          <w:rFonts w:ascii="Times New Roman" w:hAnsi="Times New Roman"/>
          <w:sz w:val="28"/>
          <w:lang w:val="en-US"/>
        </w:rPr>
        <w:t>Efficiency</w:t>
      </w:r>
      <w:r w:rsidRPr="00493E2B">
        <w:rPr>
          <w:rFonts w:ascii="Times New Roman" w:hAnsi="Times New Roman"/>
          <w:sz w:val="28"/>
        </w:rPr>
        <w:t xml:space="preserve"> / </w:t>
      </w:r>
      <w:r w:rsidRPr="00D443A9">
        <w:rPr>
          <w:rFonts w:ascii="Times New Roman" w:hAnsi="Times New Roman"/>
          <w:sz w:val="28"/>
          <w:lang w:val="en-US"/>
        </w:rPr>
        <w:t>S</w:t>
      </w:r>
      <w:r w:rsidRPr="00493E2B">
        <w:rPr>
          <w:rFonts w:ascii="Times New Roman" w:hAnsi="Times New Roman"/>
          <w:sz w:val="28"/>
        </w:rPr>
        <w:t xml:space="preserve">. </w:t>
      </w:r>
      <w:r w:rsidRPr="00D443A9">
        <w:rPr>
          <w:rFonts w:ascii="Times New Roman" w:hAnsi="Times New Roman"/>
          <w:sz w:val="28"/>
          <w:lang w:val="en-US"/>
        </w:rPr>
        <w:t>Enke</w:t>
      </w:r>
      <w:r w:rsidRPr="00493E2B">
        <w:rPr>
          <w:rFonts w:ascii="Times New Roman" w:hAnsi="Times New Roman"/>
          <w:sz w:val="28"/>
        </w:rPr>
        <w:t xml:space="preserve"> // </w:t>
      </w:r>
      <w:r w:rsidRPr="00D443A9">
        <w:rPr>
          <w:rFonts w:ascii="Times New Roman" w:hAnsi="Times New Roman"/>
          <w:sz w:val="28"/>
          <w:lang w:val="en-US"/>
        </w:rPr>
        <w:t>American</w:t>
      </w:r>
      <w:r w:rsidRPr="00493E2B">
        <w:rPr>
          <w:rFonts w:ascii="Times New Roman" w:hAnsi="Times New Roman"/>
          <w:sz w:val="28"/>
        </w:rPr>
        <w:t xml:space="preserve"> </w:t>
      </w:r>
      <w:r w:rsidRPr="00D443A9">
        <w:rPr>
          <w:rFonts w:ascii="Times New Roman" w:hAnsi="Times New Roman"/>
          <w:sz w:val="28"/>
          <w:lang w:val="en-US"/>
        </w:rPr>
        <w:t>Economic</w:t>
      </w:r>
      <w:r w:rsidRPr="00493E2B">
        <w:rPr>
          <w:rFonts w:ascii="Times New Roman" w:hAnsi="Times New Roman"/>
          <w:sz w:val="28"/>
        </w:rPr>
        <w:t xml:space="preserve"> </w:t>
      </w:r>
      <w:r w:rsidRPr="00D443A9">
        <w:rPr>
          <w:rFonts w:ascii="Times New Roman" w:hAnsi="Times New Roman"/>
          <w:sz w:val="28"/>
          <w:lang w:val="en-US"/>
        </w:rPr>
        <w:t>Review</w:t>
      </w:r>
      <w:r w:rsidRPr="00493E2B">
        <w:rPr>
          <w:rFonts w:ascii="Times New Roman" w:hAnsi="Times New Roman"/>
          <w:sz w:val="28"/>
        </w:rPr>
        <w:t xml:space="preserve">. - 1945. - № 35. - </w:t>
      </w:r>
      <w:r w:rsidRPr="00D443A9">
        <w:rPr>
          <w:rFonts w:ascii="Times New Roman" w:hAnsi="Times New Roman"/>
          <w:sz w:val="28"/>
        </w:rPr>
        <w:t>Р</w:t>
      </w:r>
      <w:r w:rsidRPr="00D443A9">
        <w:rPr>
          <w:rFonts w:ascii="Times New Roman" w:hAnsi="Times New Roman"/>
          <w:sz w:val="28"/>
          <w:lang w:val="en-US"/>
        </w:rPr>
        <w:t>p</w:t>
      </w:r>
      <w:r w:rsidRPr="00493E2B">
        <w:rPr>
          <w:rFonts w:ascii="Times New Roman" w:hAnsi="Times New Roman"/>
          <w:sz w:val="28"/>
        </w:rPr>
        <w:t>. 148–155.</w:t>
      </w:r>
    </w:p>
    <w:p w:rsidR="00D443A9" w:rsidRPr="00D443A9" w:rsidRDefault="00D443A9" w:rsidP="00D443A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en-US"/>
        </w:rPr>
      </w:pPr>
      <w:r w:rsidRPr="00D443A9">
        <w:rPr>
          <w:rFonts w:ascii="Times New Roman" w:hAnsi="Times New Roman"/>
          <w:b/>
          <w:bCs/>
          <w:sz w:val="28"/>
        </w:rPr>
        <w:t>ИНОСТРАННЫЕ</w:t>
      </w:r>
      <w:r w:rsidRPr="00D443A9">
        <w:rPr>
          <w:rFonts w:ascii="Times New Roman" w:hAnsi="Times New Roman"/>
          <w:b/>
          <w:bCs/>
          <w:sz w:val="28"/>
          <w:lang w:val="en-US"/>
        </w:rPr>
        <w:t xml:space="preserve"> </w:t>
      </w:r>
      <w:r w:rsidRPr="00D443A9">
        <w:rPr>
          <w:rFonts w:ascii="Times New Roman" w:hAnsi="Times New Roman"/>
          <w:b/>
          <w:bCs/>
          <w:sz w:val="28"/>
        </w:rPr>
        <w:t>ПЕЧАТНЫЕ</w:t>
      </w:r>
      <w:r w:rsidRPr="00D443A9">
        <w:rPr>
          <w:rFonts w:ascii="Times New Roman" w:hAnsi="Times New Roman"/>
          <w:b/>
          <w:bCs/>
          <w:sz w:val="28"/>
          <w:lang w:val="en-US"/>
        </w:rPr>
        <w:t xml:space="preserve"> </w:t>
      </w:r>
      <w:r w:rsidRPr="00D443A9">
        <w:rPr>
          <w:rFonts w:ascii="Times New Roman" w:hAnsi="Times New Roman"/>
          <w:b/>
          <w:bCs/>
          <w:sz w:val="28"/>
        </w:rPr>
        <w:t>ИСТОЧНИКИ</w:t>
      </w:r>
      <w:r w:rsidRPr="00D443A9">
        <w:rPr>
          <w:rFonts w:ascii="Times New Roman" w:hAnsi="Times New Roman"/>
          <w:b/>
          <w:bCs/>
          <w:sz w:val="28"/>
          <w:lang w:val="en-US"/>
        </w:rPr>
        <w:t xml:space="preserve"> – </w:t>
      </w:r>
      <w:r w:rsidRPr="00D443A9">
        <w:rPr>
          <w:rFonts w:ascii="Times New Roman" w:hAnsi="Times New Roman"/>
          <w:b/>
          <w:bCs/>
          <w:sz w:val="28"/>
        </w:rPr>
        <w:t>КНИГА</w:t>
      </w:r>
      <w:r w:rsidRPr="00D443A9">
        <w:rPr>
          <w:rFonts w:ascii="Times New Roman" w:hAnsi="Times New Roman"/>
          <w:b/>
          <w:bCs/>
          <w:sz w:val="28"/>
          <w:lang w:val="en-US"/>
        </w:rPr>
        <w:t xml:space="preserve"> </w:t>
      </w:r>
      <w:r w:rsidRPr="00D443A9">
        <w:rPr>
          <w:rFonts w:ascii="Times New Roman" w:hAnsi="Times New Roman"/>
          <w:sz w:val="28"/>
          <w:lang w:val="en-US"/>
        </w:rPr>
        <w:t>Schinasi, G.J. Defining Financial Stability / G.J. Schinasi.: Independent Advisor, 2004. – 320 P</w:t>
      </w:r>
      <w:r w:rsidRPr="00D443A9">
        <w:rPr>
          <w:rFonts w:ascii="Times New Roman" w:hAnsi="Times New Roman"/>
          <w:sz w:val="28"/>
        </w:rPr>
        <w:t>р</w:t>
      </w:r>
      <w:r w:rsidRPr="00D443A9">
        <w:rPr>
          <w:rFonts w:ascii="Times New Roman" w:hAnsi="Times New Roman"/>
          <w:sz w:val="28"/>
          <w:lang w:val="en-US"/>
        </w:rPr>
        <w:t>.</w:t>
      </w:r>
    </w:p>
    <w:p w:rsidR="0040375B" w:rsidRPr="00443703" w:rsidRDefault="00D443A9" w:rsidP="005029EF">
      <w:pPr>
        <w:spacing w:line="360" w:lineRule="auto"/>
        <w:ind w:firstLine="708"/>
        <w:jc w:val="both"/>
        <w:rPr>
          <w:rFonts w:ascii="Times New Roman" w:hAnsi="Times New Roman"/>
          <w:sz w:val="28"/>
          <w:lang w:val="en-US"/>
        </w:rPr>
      </w:pPr>
      <w:r w:rsidRPr="00D443A9">
        <w:rPr>
          <w:rFonts w:ascii="Times New Roman" w:hAnsi="Times New Roman"/>
          <w:b/>
          <w:bCs/>
          <w:sz w:val="28"/>
        </w:rPr>
        <w:t>ИНОСТРАННЫЕ</w:t>
      </w:r>
      <w:r w:rsidRPr="00D443A9">
        <w:rPr>
          <w:rFonts w:ascii="Times New Roman" w:hAnsi="Times New Roman"/>
          <w:b/>
          <w:bCs/>
          <w:sz w:val="28"/>
          <w:lang w:val="en-US"/>
        </w:rPr>
        <w:t xml:space="preserve"> </w:t>
      </w:r>
      <w:r w:rsidRPr="00D443A9">
        <w:rPr>
          <w:rFonts w:ascii="Times New Roman" w:hAnsi="Times New Roman"/>
          <w:b/>
          <w:bCs/>
          <w:sz w:val="28"/>
        </w:rPr>
        <w:t>ЭЛЕКТРОННЫЕ</w:t>
      </w:r>
      <w:r w:rsidRPr="00D443A9">
        <w:rPr>
          <w:rFonts w:ascii="Times New Roman" w:hAnsi="Times New Roman"/>
          <w:b/>
          <w:bCs/>
          <w:sz w:val="28"/>
          <w:lang w:val="en-US"/>
        </w:rPr>
        <w:t xml:space="preserve"> </w:t>
      </w:r>
      <w:r w:rsidRPr="00D443A9">
        <w:rPr>
          <w:rFonts w:ascii="Times New Roman" w:hAnsi="Times New Roman"/>
          <w:b/>
          <w:bCs/>
          <w:sz w:val="28"/>
        </w:rPr>
        <w:t>ИСТОЧНИКИ</w:t>
      </w:r>
      <w:r w:rsidRPr="00D443A9">
        <w:rPr>
          <w:rFonts w:ascii="Times New Roman" w:hAnsi="Times New Roman"/>
          <w:b/>
          <w:bCs/>
          <w:sz w:val="28"/>
          <w:lang w:val="en-US"/>
        </w:rPr>
        <w:t xml:space="preserve"> </w:t>
      </w:r>
      <w:r w:rsidRPr="00D443A9">
        <w:rPr>
          <w:rFonts w:ascii="Times New Roman" w:hAnsi="Times New Roman"/>
          <w:sz w:val="28"/>
          <w:lang w:val="en-US"/>
        </w:rPr>
        <w:t xml:space="preserve">Nigel, D. Salinger on Factoring / D. Nigel, M. Simon, R. Noel, 2005. URL: </w:t>
      </w:r>
      <w:r w:rsidR="0040375B" w:rsidRPr="00443703">
        <w:rPr>
          <w:rFonts w:ascii="Times New Roman" w:hAnsi="Times New Roman"/>
          <w:sz w:val="28"/>
          <w:lang w:val="en-US"/>
        </w:rPr>
        <w:t>https://www.semanticscholar.org/paper/Salinger-on-Factoring-Ruddy-Mills/db7cc7c2f92ddb8beb9d976f048d924a08d643dd</w:t>
      </w:r>
    </w:p>
    <w:p w:rsidR="00443703" w:rsidRPr="00D443A9" w:rsidRDefault="00443703" w:rsidP="00443703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A9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443703" w:rsidRDefault="00443703" w:rsidP="004437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САЙТ</w:t>
      </w:r>
      <w:r w:rsidRPr="00D443A9">
        <w:rPr>
          <w:rFonts w:ascii="Times New Roman" w:hAnsi="Times New Roman"/>
          <w:sz w:val="28"/>
        </w:rPr>
        <w:t xml:space="preserve"> </w:t>
      </w:r>
    </w:p>
    <w:p w:rsidR="00443703" w:rsidRPr="00D443A9" w:rsidRDefault="00443703" w:rsidP="004437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Федресурс. </w:t>
      </w:r>
      <w:r w:rsidRPr="00D443A9">
        <w:rPr>
          <w:rFonts w:ascii="Times New Roman" w:hAnsi="Times New Roman"/>
          <w:sz w:val="28"/>
          <w:lang w:val="en-US"/>
        </w:rPr>
        <w:t>URL</w:t>
      </w:r>
      <w:r w:rsidRPr="00D443A9">
        <w:rPr>
          <w:rFonts w:ascii="Times New Roman" w:hAnsi="Times New Roman"/>
          <w:sz w:val="28"/>
        </w:rPr>
        <w:t>: https://fedresurs.ru/</w:t>
      </w:r>
    </w:p>
    <w:p w:rsidR="00443703" w:rsidRPr="00D443A9" w:rsidRDefault="00443703" w:rsidP="004437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sz w:val="28"/>
        </w:rPr>
        <w:t xml:space="preserve">РА «Эксперт». </w:t>
      </w:r>
      <w:r w:rsidRPr="00D443A9">
        <w:rPr>
          <w:rFonts w:ascii="Times New Roman" w:hAnsi="Times New Roman"/>
          <w:sz w:val="28"/>
          <w:lang w:val="en-US"/>
        </w:rPr>
        <w:t>URL</w:t>
      </w:r>
      <w:r w:rsidRPr="00D443A9">
        <w:rPr>
          <w:rFonts w:ascii="Times New Roman" w:hAnsi="Times New Roman"/>
          <w:sz w:val="28"/>
        </w:rPr>
        <w:t>: https://raexpert.ru/</w:t>
      </w:r>
    </w:p>
    <w:p w:rsidR="00443703" w:rsidRDefault="00443703" w:rsidP="004437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443A9">
        <w:rPr>
          <w:rFonts w:ascii="Times New Roman" w:hAnsi="Times New Roman"/>
          <w:b/>
          <w:bCs/>
          <w:sz w:val="28"/>
        </w:rPr>
        <w:t>ЗАМЕТКА С САЙТА (НЕ СТАТЬЯ)</w:t>
      </w:r>
      <w:r w:rsidRPr="00D443A9">
        <w:rPr>
          <w:rFonts w:ascii="Times New Roman" w:hAnsi="Times New Roman"/>
          <w:sz w:val="28"/>
        </w:rPr>
        <w:t xml:space="preserve"> </w:t>
      </w:r>
    </w:p>
    <w:p w:rsidR="00443703" w:rsidRPr="00443703" w:rsidRDefault="00443703" w:rsidP="00443703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lang w:val="en-US"/>
        </w:rPr>
      </w:pPr>
      <w:r w:rsidRPr="00D443A9">
        <w:rPr>
          <w:rFonts w:ascii="Times New Roman" w:hAnsi="Times New Roman"/>
          <w:sz w:val="28"/>
        </w:rPr>
        <w:t xml:space="preserve">Худшие заемщики страны: портрет типичного должника МФО. </w:t>
      </w:r>
      <w:r w:rsidRPr="00D443A9">
        <w:rPr>
          <w:rFonts w:ascii="Times New Roman" w:hAnsi="Times New Roman"/>
          <w:sz w:val="28"/>
          <w:lang w:val="en-US"/>
        </w:rPr>
        <w:t>URL</w:t>
      </w:r>
      <w:r w:rsidRPr="00443703">
        <w:rPr>
          <w:rFonts w:ascii="Times New Roman" w:hAnsi="Times New Roman"/>
          <w:sz w:val="28"/>
          <w:lang w:val="en-US"/>
        </w:rPr>
        <w:t>: https://www.klerk.ru/bank/articles/459559/</w:t>
      </w:r>
    </w:p>
    <w:p w:rsidR="0040375B" w:rsidRDefault="0040375B">
      <w:pPr>
        <w:spacing w:after="0" w:line="240" w:lineRule="auto"/>
        <w:rPr>
          <w:rFonts w:ascii="Times New Roman" w:hAnsi="Times New Roman"/>
          <w:sz w:val="28"/>
          <w:lang w:val="en-US"/>
        </w:rPr>
      </w:pPr>
      <w:bookmarkStart w:id="0" w:name="_GoBack"/>
      <w:bookmarkEnd w:id="0"/>
    </w:p>
    <w:sectPr w:rsidR="0040375B" w:rsidSect="008E64B6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70" w:rsidRDefault="00CE1470" w:rsidP="008E64B6">
      <w:pPr>
        <w:spacing w:after="0" w:line="240" w:lineRule="auto"/>
      </w:pPr>
      <w:r>
        <w:separator/>
      </w:r>
    </w:p>
  </w:endnote>
  <w:endnote w:type="continuationSeparator" w:id="0">
    <w:p w:rsidR="00CE1470" w:rsidRDefault="00CE1470" w:rsidP="008E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08735511"/>
      <w:docPartObj>
        <w:docPartGallery w:val="Page Numbers (Bottom of Page)"/>
        <w:docPartUnique/>
      </w:docPartObj>
    </w:sdtPr>
    <w:sdtEndPr/>
    <w:sdtContent>
      <w:p w:rsidR="00000E5D" w:rsidRPr="002138D1" w:rsidRDefault="00791910" w:rsidP="002138D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138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0E5D" w:rsidRPr="002138D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138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3E2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38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70" w:rsidRDefault="00CE1470" w:rsidP="008E64B6">
      <w:pPr>
        <w:spacing w:after="0" w:line="240" w:lineRule="auto"/>
      </w:pPr>
      <w:r>
        <w:separator/>
      </w:r>
    </w:p>
  </w:footnote>
  <w:footnote w:type="continuationSeparator" w:id="0">
    <w:p w:rsidR="00CE1470" w:rsidRDefault="00CE1470" w:rsidP="008E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32"/>
        <w:szCs w:val="32"/>
      </w:rPr>
      <w:alias w:val="Заголовок"/>
      <w:id w:val="675429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0E5D" w:rsidRPr="008E64B6" w:rsidRDefault="00000E5D" w:rsidP="008E64B6">
        <w:pPr>
          <w:pBdr>
            <w:bottom w:val="thickThinSmallGap" w:sz="24" w:space="1" w:color="622423" w:themeColor="accent2" w:themeShade="7F"/>
          </w:pBd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Times New Roman" w:eastAsiaTheme="majorEastAsia" w:hAnsi="Times New Roman" w:cs="Times New Roman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32"/>
            <w:szCs w:val="32"/>
          </w:rPr>
          <w:t>Волгоградский государственный университет</w:t>
        </w:r>
      </w:p>
    </w:sdtContent>
  </w:sdt>
  <w:p w:rsidR="00000E5D" w:rsidRDefault="00000E5D" w:rsidP="008E64B6">
    <w:pPr>
      <w:pStyle w:val="a3"/>
    </w:pPr>
  </w:p>
  <w:p w:rsidR="00000E5D" w:rsidRDefault="00000E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96C"/>
    <w:multiLevelType w:val="hybridMultilevel"/>
    <w:tmpl w:val="22186E64"/>
    <w:lvl w:ilvl="0" w:tplc="5126A80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76240D"/>
    <w:multiLevelType w:val="hybridMultilevel"/>
    <w:tmpl w:val="526C6F42"/>
    <w:lvl w:ilvl="0" w:tplc="9776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1D2514"/>
    <w:multiLevelType w:val="hybridMultilevel"/>
    <w:tmpl w:val="72606D8C"/>
    <w:lvl w:ilvl="0" w:tplc="1A4AFD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865"/>
    <w:multiLevelType w:val="hybridMultilevel"/>
    <w:tmpl w:val="B2C8242A"/>
    <w:lvl w:ilvl="0" w:tplc="334670A8">
      <w:start w:val="1"/>
      <w:numFmt w:val="decimal"/>
      <w:lvlText w:val="Рисунок 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14D95"/>
    <w:multiLevelType w:val="hybridMultilevel"/>
    <w:tmpl w:val="474ECB60"/>
    <w:lvl w:ilvl="0" w:tplc="BDCA7D60">
      <w:start w:val="1"/>
      <w:numFmt w:val="decimal"/>
      <w:lvlText w:val="Таблица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B086E"/>
    <w:multiLevelType w:val="hybridMultilevel"/>
    <w:tmpl w:val="ED600EC8"/>
    <w:lvl w:ilvl="0" w:tplc="379CC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4B6"/>
    <w:rsid w:val="00000E5D"/>
    <w:rsid w:val="000144B2"/>
    <w:rsid w:val="000425BD"/>
    <w:rsid w:val="000440CC"/>
    <w:rsid w:val="0009424D"/>
    <w:rsid w:val="00134C58"/>
    <w:rsid w:val="001777B9"/>
    <w:rsid w:val="001E271D"/>
    <w:rsid w:val="002138D1"/>
    <w:rsid w:val="00226C48"/>
    <w:rsid w:val="002F6BE8"/>
    <w:rsid w:val="00355256"/>
    <w:rsid w:val="003A580A"/>
    <w:rsid w:val="0040375B"/>
    <w:rsid w:val="0042099F"/>
    <w:rsid w:val="00440F1D"/>
    <w:rsid w:val="00443703"/>
    <w:rsid w:val="00486274"/>
    <w:rsid w:val="00493E2B"/>
    <w:rsid w:val="004F1F63"/>
    <w:rsid w:val="005029EF"/>
    <w:rsid w:val="00577261"/>
    <w:rsid w:val="005A74CC"/>
    <w:rsid w:val="005C1A84"/>
    <w:rsid w:val="006550E9"/>
    <w:rsid w:val="00655C13"/>
    <w:rsid w:val="0067004D"/>
    <w:rsid w:val="006E370A"/>
    <w:rsid w:val="00791910"/>
    <w:rsid w:val="00806EB3"/>
    <w:rsid w:val="008168F8"/>
    <w:rsid w:val="00830A9B"/>
    <w:rsid w:val="00856844"/>
    <w:rsid w:val="0088527B"/>
    <w:rsid w:val="008A5786"/>
    <w:rsid w:val="008E64B6"/>
    <w:rsid w:val="00946CBE"/>
    <w:rsid w:val="009667A2"/>
    <w:rsid w:val="009902CB"/>
    <w:rsid w:val="009B12C0"/>
    <w:rsid w:val="00B04E05"/>
    <w:rsid w:val="00B20A59"/>
    <w:rsid w:val="00B91B2F"/>
    <w:rsid w:val="00C70CA2"/>
    <w:rsid w:val="00CA0185"/>
    <w:rsid w:val="00CE1470"/>
    <w:rsid w:val="00CE1B38"/>
    <w:rsid w:val="00D443A9"/>
    <w:rsid w:val="00D44426"/>
    <w:rsid w:val="00DA5340"/>
    <w:rsid w:val="00DF678E"/>
    <w:rsid w:val="00E06EFC"/>
    <w:rsid w:val="00E2394D"/>
    <w:rsid w:val="00F4562D"/>
    <w:rsid w:val="00FC1C77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A97DD-F9FB-4CED-98C0-7941C08E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A84"/>
    <w:pPr>
      <w:spacing w:after="160" w:line="25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443703"/>
    <w:pPr>
      <w:keepNext/>
      <w:keepLines/>
      <w:spacing w:after="0" w:line="360" w:lineRule="auto"/>
      <w:ind w:firstLine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64B6"/>
    <w:rPr>
      <w:rFonts w:asciiTheme="minorHAnsi" w:eastAsiaTheme="minorEastAsia" w:hAnsiTheme="minorHAns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8E6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64B6"/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4B6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DF678E"/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FE52B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E52B6"/>
    <w:rPr>
      <w:rFonts w:asciiTheme="minorHAnsi" w:eastAsiaTheme="minorEastAsia" w:hAnsiTheme="minorHAnsi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E52B6"/>
    <w:rPr>
      <w:vertAlign w:val="superscript"/>
    </w:rPr>
  </w:style>
  <w:style w:type="character" w:styleId="ad">
    <w:name w:val="Hyperlink"/>
    <w:basedOn w:val="a0"/>
    <w:uiPriority w:val="99"/>
    <w:unhideWhenUsed/>
    <w:rsid w:val="00CA0185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A0185"/>
    <w:pPr>
      <w:spacing w:after="0" w:line="360" w:lineRule="auto"/>
      <w:jc w:val="both"/>
    </w:pPr>
    <w:rPr>
      <w:rFonts w:ascii="Times New Roman" w:hAnsi="Times New Roman"/>
      <w:b/>
      <w:sz w:val="28"/>
    </w:rPr>
  </w:style>
  <w:style w:type="paragraph" w:styleId="2">
    <w:name w:val="toc 2"/>
    <w:basedOn w:val="a"/>
    <w:next w:val="a"/>
    <w:autoRedefine/>
    <w:uiPriority w:val="39"/>
    <w:unhideWhenUsed/>
    <w:rsid w:val="00CA0185"/>
    <w:pPr>
      <w:spacing w:after="0" w:line="360" w:lineRule="auto"/>
      <w:jc w:val="both"/>
    </w:pPr>
    <w:rPr>
      <w:rFonts w:ascii="Times New Roman" w:hAnsi="Times New Roman"/>
      <w:sz w:val="28"/>
    </w:rPr>
  </w:style>
  <w:style w:type="table" w:customStyle="1" w:styleId="12">
    <w:name w:val="Сетка таблицы1"/>
    <w:basedOn w:val="a1"/>
    <w:next w:val="a9"/>
    <w:uiPriority w:val="59"/>
    <w:rsid w:val="00830A9B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3703"/>
    <w:rPr>
      <w:rFonts w:eastAsiaTheme="majorEastAsia" w:cstheme="majorBidi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6BA6A-B92A-4BE7-BBA4-BB282042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государственный университет</vt:lpstr>
    </vt:vector>
  </TitlesOfParts>
  <Company>ВолГУ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государственный университет</dc:title>
  <dc:creator>Григорьева Л.В.</dc:creator>
  <cp:lastModifiedBy>user</cp:lastModifiedBy>
  <cp:revision>7</cp:revision>
  <cp:lastPrinted>2022-03-28T13:00:00Z</cp:lastPrinted>
  <dcterms:created xsi:type="dcterms:W3CDTF">2022-03-30T06:29:00Z</dcterms:created>
  <dcterms:modified xsi:type="dcterms:W3CDTF">2022-11-11T11:20:00Z</dcterms:modified>
</cp:coreProperties>
</file>